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1E4C" w14:textId="3953EBA5" w:rsidR="00504227" w:rsidRPr="00A46B3D" w:rsidRDefault="00B84BC3" w:rsidP="00A46B3D">
      <w:pPr>
        <w:pStyle w:val="Heading1"/>
        <w:spacing w:before="3520"/>
        <w:jc w:val="center"/>
        <w:rPr>
          <w:i/>
          <w:iCs/>
          <w:caps w:val="0"/>
          <w:sz w:val="52"/>
          <w:szCs w:val="52"/>
        </w:rPr>
      </w:pPr>
      <w:r w:rsidRPr="00A46B3D">
        <w:rPr>
          <w:caps w:val="0"/>
          <w:sz w:val="52"/>
          <w:szCs w:val="52"/>
        </w:rPr>
        <w:t xml:space="preserve">How to Write a </w:t>
      </w:r>
      <w:r w:rsidR="00504227" w:rsidRPr="00A46B3D">
        <w:rPr>
          <w:caps w:val="0"/>
          <w:sz w:val="52"/>
          <w:szCs w:val="52"/>
        </w:rPr>
        <w:t>D</w:t>
      </w:r>
      <w:r w:rsidRPr="00A46B3D">
        <w:rPr>
          <w:caps w:val="0"/>
          <w:sz w:val="52"/>
          <w:szCs w:val="52"/>
        </w:rPr>
        <w:t>ata</w:t>
      </w:r>
      <w:r w:rsidR="00504227" w:rsidRPr="00A46B3D">
        <w:rPr>
          <w:caps w:val="0"/>
          <w:sz w:val="52"/>
          <w:szCs w:val="52"/>
        </w:rPr>
        <w:t xml:space="preserve"> </w:t>
      </w:r>
      <w:r w:rsidRPr="00A46B3D">
        <w:rPr>
          <w:caps w:val="0"/>
          <w:sz w:val="52"/>
          <w:szCs w:val="52"/>
        </w:rPr>
        <w:t>and</w:t>
      </w:r>
      <w:r w:rsidR="00504227" w:rsidRPr="00A46B3D">
        <w:rPr>
          <w:caps w:val="0"/>
          <w:sz w:val="52"/>
          <w:szCs w:val="52"/>
        </w:rPr>
        <w:t xml:space="preserve"> S</w:t>
      </w:r>
      <w:r w:rsidRPr="00A46B3D">
        <w:rPr>
          <w:caps w:val="0"/>
          <w:sz w:val="52"/>
          <w:szCs w:val="52"/>
        </w:rPr>
        <w:t>afety</w:t>
      </w:r>
      <w:r w:rsidR="00504227" w:rsidRPr="00A46B3D">
        <w:rPr>
          <w:caps w:val="0"/>
          <w:sz w:val="52"/>
          <w:szCs w:val="52"/>
        </w:rPr>
        <w:t xml:space="preserve"> M</w:t>
      </w:r>
      <w:r w:rsidRPr="00A46B3D">
        <w:rPr>
          <w:caps w:val="0"/>
          <w:sz w:val="52"/>
          <w:szCs w:val="52"/>
        </w:rPr>
        <w:t>onitoring</w:t>
      </w:r>
      <w:r w:rsidR="00504227" w:rsidRPr="00A46B3D">
        <w:rPr>
          <w:caps w:val="0"/>
          <w:sz w:val="52"/>
          <w:szCs w:val="52"/>
        </w:rPr>
        <w:t xml:space="preserve"> P</w:t>
      </w:r>
      <w:r w:rsidRPr="00A46B3D">
        <w:rPr>
          <w:caps w:val="0"/>
          <w:sz w:val="52"/>
          <w:szCs w:val="52"/>
        </w:rPr>
        <w:t>lan</w:t>
      </w:r>
      <w:r w:rsidR="0053641C" w:rsidRPr="00A46B3D">
        <w:rPr>
          <w:caps w:val="0"/>
          <w:sz w:val="52"/>
          <w:szCs w:val="52"/>
        </w:rPr>
        <w:t xml:space="preserve"> (DSMP)</w:t>
      </w:r>
    </w:p>
    <w:p w14:paraId="4CD9870E" w14:textId="5A646BC7" w:rsidR="00BC5A4C" w:rsidRPr="006B671A" w:rsidRDefault="0079145C" w:rsidP="00A44F70">
      <w:pPr>
        <w:pStyle w:val="Default"/>
        <w:spacing w:before="960"/>
        <w:jc w:val="center"/>
        <w:rPr>
          <w:sz w:val="32"/>
          <w:szCs w:val="32"/>
        </w:rPr>
      </w:pPr>
      <w:r>
        <w:rPr>
          <w:sz w:val="32"/>
          <w:szCs w:val="32"/>
        </w:rPr>
        <w:t>December</w:t>
      </w:r>
      <w:r w:rsidR="002432D6">
        <w:rPr>
          <w:sz w:val="32"/>
          <w:szCs w:val="32"/>
        </w:rPr>
        <w:t xml:space="preserve"> </w:t>
      </w:r>
      <w:r w:rsidR="00BC5A4C" w:rsidRPr="2BD67300">
        <w:rPr>
          <w:sz w:val="32"/>
          <w:szCs w:val="32"/>
        </w:rPr>
        <w:t>20</w:t>
      </w:r>
      <w:r w:rsidR="3AE38910" w:rsidRPr="2BD67300">
        <w:rPr>
          <w:sz w:val="32"/>
          <w:szCs w:val="32"/>
        </w:rPr>
        <w:t>20</w:t>
      </w:r>
    </w:p>
    <w:p w14:paraId="44EAFD9C" w14:textId="77777777" w:rsidR="008853D4" w:rsidRPr="008853D4" w:rsidRDefault="008853D4" w:rsidP="008853D4">
      <w:pPr>
        <w:pStyle w:val="Default"/>
        <w:sectPr w:rsidR="008853D4" w:rsidRPr="008853D4" w:rsidSect="00504227">
          <w:footerReference w:type="default" r:id="rId11"/>
          <w:footerReference w:type="first" r:id="rId12"/>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noEndnote/>
        </w:sectPr>
      </w:pPr>
    </w:p>
    <w:p w14:paraId="75ECC32F" w14:textId="77777777" w:rsidR="00504227" w:rsidRPr="00D711C0" w:rsidRDefault="00504227" w:rsidP="00D711C0">
      <w:pPr>
        <w:pStyle w:val="Heading1"/>
        <w:spacing w:before="0"/>
        <w:jc w:val="center"/>
        <w:rPr>
          <w:sz w:val="32"/>
          <w:szCs w:val="32"/>
        </w:rPr>
      </w:pPr>
      <w:r w:rsidRPr="00D711C0">
        <w:rPr>
          <w:sz w:val="32"/>
          <w:szCs w:val="32"/>
        </w:rPr>
        <w:lastRenderedPageBreak/>
        <w:t>PREFACE</w:t>
      </w:r>
    </w:p>
    <w:p w14:paraId="619182FC" w14:textId="77777777" w:rsidR="00AC70C2" w:rsidRPr="004A2569" w:rsidRDefault="00504227" w:rsidP="00A44F70">
      <w:pPr>
        <w:pStyle w:val="BodyText"/>
        <w:rPr>
          <w:i/>
          <w:iCs/>
        </w:rPr>
      </w:pPr>
      <w:r w:rsidRPr="004A2569">
        <w:rPr>
          <w:i/>
          <w:iCs/>
        </w:rPr>
        <w:t xml:space="preserve">Investigators should consider using this template when developing the Data and Safety Monitoring Plan (DSMP) for clinical studies </w:t>
      </w:r>
      <w:r w:rsidR="001E2956" w:rsidRPr="004A2569">
        <w:rPr>
          <w:i/>
          <w:iCs/>
        </w:rPr>
        <w:t xml:space="preserve">supported </w:t>
      </w:r>
      <w:r w:rsidRPr="004A2569">
        <w:rPr>
          <w:i/>
          <w:iCs/>
        </w:rPr>
        <w:t xml:space="preserve">by the </w:t>
      </w:r>
      <w:r w:rsidR="00001A99" w:rsidRPr="004A2569">
        <w:rPr>
          <w:bCs/>
          <w:i/>
          <w:iCs/>
        </w:rPr>
        <w:t>National Institute of Arthritis and Musculoskeletal and Skin Diseases</w:t>
      </w:r>
      <w:r w:rsidR="00001A99" w:rsidRPr="004A2569">
        <w:rPr>
          <w:i/>
          <w:iCs/>
        </w:rPr>
        <w:t xml:space="preserve"> (</w:t>
      </w:r>
      <w:r w:rsidR="00001A99" w:rsidRPr="004A2569">
        <w:rPr>
          <w:bCs/>
          <w:i/>
          <w:iCs/>
        </w:rPr>
        <w:t>NIAMS</w:t>
      </w:r>
      <w:r w:rsidR="00001A99" w:rsidRPr="004A2569">
        <w:rPr>
          <w:i/>
          <w:iCs/>
        </w:rPr>
        <w:t>)</w:t>
      </w:r>
      <w:r w:rsidRPr="004A2569">
        <w:rPr>
          <w:i/>
          <w:iCs/>
        </w:rPr>
        <w:t>.</w:t>
      </w:r>
    </w:p>
    <w:p w14:paraId="2A4F9628" w14:textId="4507D8DF" w:rsidR="2BD67300" w:rsidRPr="004A2569" w:rsidRDefault="00A00D9A" w:rsidP="00A44F70">
      <w:pPr>
        <w:pStyle w:val="BodyText"/>
        <w:rPr>
          <w:i/>
          <w:iCs/>
        </w:rPr>
      </w:pPr>
      <w:r w:rsidRPr="004A2569">
        <w:rPr>
          <w:i/>
          <w:iCs/>
        </w:rPr>
        <w:t xml:space="preserve">The goal of the DSMP is to provide a general description of a plan that you intend to </w:t>
      </w:r>
      <w:r w:rsidR="008853D4" w:rsidRPr="004A2569">
        <w:rPr>
          <w:i/>
          <w:iCs/>
        </w:rPr>
        <w:t>implement</w:t>
      </w:r>
      <w:r w:rsidRPr="004A2569">
        <w:rPr>
          <w:i/>
          <w:iCs/>
        </w:rPr>
        <w:t xml:space="preserve"> for data and safety monitoring. The DSMP should specify the following:</w:t>
      </w:r>
    </w:p>
    <w:p w14:paraId="349D1CAC" w14:textId="3F97AC7E" w:rsidR="0A2354A5" w:rsidRPr="004A2569" w:rsidRDefault="0A2354A5" w:rsidP="004A2569">
      <w:pPr>
        <w:numPr>
          <w:ilvl w:val="0"/>
          <w:numId w:val="11"/>
        </w:numPr>
        <w:spacing w:after="0"/>
        <w:rPr>
          <w:rFonts w:eastAsia="Arial"/>
          <w:i/>
          <w:iCs/>
          <w:sz w:val="24"/>
          <w:szCs w:val="24"/>
        </w:rPr>
      </w:pPr>
      <w:r w:rsidRPr="004A2569">
        <w:rPr>
          <w:rFonts w:eastAsia="Arial"/>
          <w:i/>
          <w:iCs/>
          <w:sz w:val="24"/>
          <w:szCs w:val="24"/>
        </w:rPr>
        <w:t>A brief description of the study design</w:t>
      </w:r>
    </w:p>
    <w:p w14:paraId="2A3D9490" w14:textId="4FE39A1E" w:rsidR="0A2354A5" w:rsidRPr="004A2569" w:rsidRDefault="0A2354A5" w:rsidP="004A2569">
      <w:pPr>
        <w:pStyle w:val="ListParagraph"/>
        <w:numPr>
          <w:ilvl w:val="1"/>
          <w:numId w:val="11"/>
        </w:numPr>
        <w:spacing w:after="0"/>
        <w:rPr>
          <w:rFonts w:eastAsia="Arial"/>
          <w:i/>
          <w:iCs/>
        </w:rPr>
      </w:pPr>
      <w:r w:rsidRPr="004A2569">
        <w:rPr>
          <w:rFonts w:eastAsia="Arial"/>
          <w:i/>
          <w:iCs/>
        </w:rPr>
        <w:t>Primary and secondary outcome measures/endpoints</w:t>
      </w:r>
    </w:p>
    <w:p w14:paraId="51B26C8D" w14:textId="2FEFA95C" w:rsidR="0A2354A5" w:rsidRPr="004A2569" w:rsidRDefault="0A2354A5" w:rsidP="004A2569">
      <w:pPr>
        <w:pStyle w:val="ListParagraph"/>
        <w:numPr>
          <w:ilvl w:val="1"/>
          <w:numId w:val="11"/>
        </w:numPr>
        <w:spacing w:after="0"/>
        <w:rPr>
          <w:rFonts w:eastAsia="Arial"/>
          <w:i/>
          <w:iCs/>
        </w:rPr>
      </w:pPr>
      <w:r w:rsidRPr="004A2569">
        <w:rPr>
          <w:rFonts w:eastAsia="Arial"/>
          <w:i/>
          <w:iCs/>
        </w:rPr>
        <w:t>Sample size and target population</w:t>
      </w:r>
    </w:p>
    <w:p w14:paraId="7FEB2E32" w14:textId="558FA054" w:rsidR="0A2354A5" w:rsidRPr="004A2569" w:rsidRDefault="0A2354A5" w:rsidP="004A2569">
      <w:pPr>
        <w:pStyle w:val="ListParagraph"/>
        <w:numPr>
          <w:ilvl w:val="1"/>
          <w:numId w:val="11"/>
        </w:numPr>
        <w:spacing w:after="0"/>
        <w:rPr>
          <w:rFonts w:eastAsia="Arial"/>
          <w:i/>
          <w:iCs/>
        </w:rPr>
      </w:pPr>
      <w:r w:rsidRPr="004A2569">
        <w:rPr>
          <w:rFonts w:eastAsia="Arial"/>
          <w:i/>
          <w:iCs/>
        </w:rPr>
        <w:t>Inclusion and exclusion criteria</w:t>
      </w:r>
    </w:p>
    <w:p w14:paraId="4867FD4E" w14:textId="38FE278F" w:rsidR="0A2354A5" w:rsidRPr="004A2569" w:rsidRDefault="0A2354A5" w:rsidP="004A2569">
      <w:pPr>
        <w:pStyle w:val="ListParagraph"/>
        <w:numPr>
          <w:ilvl w:val="1"/>
          <w:numId w:val="11"/>
        </w:numPr>
        <w:spacing w:after="0"/>
        <w:rPr>
          <w:rFonts w:eastAsia="Arial"/>
          <w:i/>
          <w:iCs/>
        </w:rPr>
      </w:pPr>
      <w:r w:rsidRPr="004A2569">
        <w:rPr>
          <w:rFonts w:eastAsia="Arial"/>
          <w:i/>
          <w:iCs/>
        </w:rPr>
        <w:t>A list of proposed participating sites and centers for multi-site trials</w:t>
      </w:r>
    </w:p>
    <w:p w14:paraId="59804F8F" w14:textId="790DCB03" w:rsidR="00746FC4" w:rsidRPr="004A2569" w:rsidRDefault="00746FC4" w:rsidP="004A2569">
      <w:pPr>
        <w:numPr>
          <w:ilvl w:val="0"/>
          <w:numId w:val="11"/>
        </w:numPr>
        <w:autoSpaceDE w:val="0"/>
        <w:autoSpaceDN w:val="0"/>
        <w:spacing w:after="0"/>
        <w:rPr>
          <w:i/>
          <w:iCs/>
          <w:sz w:val="24"/>
          <w:szCs w:val="24"/>
        </w:rPr>
      </w:pPr>
      <w:r w:rsidRPr="004A2569">
        <w:rPr>
          <w:i/>
          <w:iCs/>
          <w:sz w:val="24"/>
          <w:szCs w:val="24"/>
        </w:rPr>
        <w:t xml:space="preserve">Potential risks </w:t>
      </w:r>
      <w:r w:rsidR="00770A01" w:rsidRPr="004A2569">
        <w:rPr>
          <w:i/>
          <w:iCs/>
          <w:sz w:val="24"/>
          <w:szCs w:val="24"/>
        </w:rPr>
        <w:t xml:space="preserve">and benefits </w:t>
      </w:r>
      <w:r w:rsidRPr="004A2569">
        <w:rPr>
          <w:i/>
          <w:iCs/>
          <w:sz w:val="24"/>
          <w:szCs w:val="24"/>
        </w:rPr>
        <w:t>for participating in the study</w:t>
      </w:r>
    </w:p>
    <w:p w14:paraId="5A2A111D" w14:textId="1BF80473" w:rsidR="00746FC4" w:rsidRPr="004A2569" w:rsidRDefault="00746FC4" w:rsidP="004A2569">
      <w:pPr>
        <w:numPr>
          <w:ilvl w:val="0"/>
          <w:numId w:val="11"/>
        </w:numPr>
        <w:autoSpaceDE w:val="0"/>
        <w:autoSpaceDN w:val="0"/>
        <w:spacing w:after="0"/>
        <w:rPr>
          <w:i/>
          <w:iCs/>
          <w:sz w:val="24"/>
          <w:szCs w:val="24"/>
        </w:rPr>
      </w:pPr>
      <w:r w:rsidRPr="004A2569">
        <w:rPr>
          <w:i/>
          <w:iCs/>
          <w:sz w:val="24"/>
          <w:szCs w:val="24"/>
        </w:rPr>
        <w:t>Procedures for data review and report</w:t>
      </w:r>
      <w:r w:rsidR="2093B3D5" w:rsidRPr="004A2569">
        <w:rPr>
          <w:i/>
          <w:iCs/>
          <w:sz w:val="24"/>
          <w:szCs w:val="24"/>
        </w:rPr>
        <w:t xml:space="preserve">able events </w:t>
      </w:r>
    </w:p>
    <w:p w14:paraId="62A5528A" w14:textId="75BBAD00" w:rsidR="005E4FDC" w:rsidRPr="004A2569" w:rsidRDefault="0C783D31" w:rsidP="004A2569">
      <w:pPr>
        <w:numPr>
          <w:ilvl w:val="0"/>
          <w:numId w:val="11"/>
        </w:numPr>
        <w:autoSpaceDE w:val="0"/>
        <w:autoSpaceDN w:val="0"/>
        <w:spacing w:after="0"/>
        <w:rPr>
          <w:i/>
          <w:iCs/>
          <w:sz w:val="24"/>
          <w:szCs w:val="24"/>
        </w:rPr>
      </w:pPr>
      <w:r w:rsidRPr="004A2569">
        <w:rPr>
          <w:i/>
          <w:iCs/>
          <w:sz w:val="24"/>
          <w:szCs w:val="24"/>
        </w:rPr>
        <w:t xml:space="preserve">Roles and responsibilities of </w:t>
      </w:r>
      <w:r w:rsidR="038C002B" w:rsidRPr="004A2569">
        <w:rPr>
          <w:i/>
          <w:iCs/>
          <w:sz w:val="24"/>
          <w:szCs w:val="24"/>
        </w:rPr>
        <w:t>study staff and monitoring entity</w:t>
      </w:r>
      <w:r w:rsidR="00EB4E47" w:rsidRPr="004A2569">
        <w:rPr>
          <w:i/>
          <w:iCs/>
          <w:sz w:val="24"/>
          <w:szCs w:val="24"/>
        </w:rPr>
        <w:t xml:space="preserve"> </w:t>
      </w:r>
      <w:r w:rsidR="001E2956" w:rsidRPr="004A2569">
        <w:rPr>
          <w:i/>
          <w:iCs/>
          <w:sz w:val="24"/>
          <w:szCs w:val="24"/>
        </w:rPr>
        <w:t>(referred to as “Monitoring Body”)</w:t>
      </w:r>
      <w:r w:rsidR="005E4FDC" w:rsidRPr="004A2569">
        <w:rPr>
          <w:i/>
          <w:iCs/>
          <w:sz w:val="24"/>
          <w:szCs w:val="24"/>
        </w:rPr>
        <w:t>. These can include, but are not limited to, monitoring by a:</w:t>
      </w:r>
    </w:p>
    <w:p w14:paraId="7F13C29E" w14:textId="77777777" w:rsidR="005E4FDC" w:rsidRPr="004A2569" w:rsidRDefault="005E4FDC" w:rsidP="004A2569">
      <w:pPr>
        <w:numPr>
          <w:ilvl w:val="1"/>
          <w:numId w:val="11"/>
        </w:numPr>
        <w:autoSpaceDE w:val="0"/>
        <w:autoSpaceDN w:val="0"/>
        <w:spacing w:after="0"/>
        <w:rPr>
          <w:i/>
          <w:iCs/>
          <w:sz w:val="24"/>
          <w:szCs w:val="24"/>
        </w:rPr>
      </w:pPr>
      <w:r w:rsidRPr="004A2569">
        <w:rPr>
          <w:i/>
          <w:iCs/>
          <w:sz w:val="24"/>
          <w:szCs w:val="24"/>
        </w:rPr>
        <w:t>P</w:t>
      </w:r>
      <w:r w:rsidR="008853D4" w:rsidRPr="004A2569">
        <w:rPr>
          <w:i/>
          <w:iCs/>
          <w:sz w:val="24"/>
          <w:szCs w:val="24"/>
        </w:rPr>
        <w:t xml:space="preserve">roject </w:t>
      </w:r>
      <w:r w:rsidRPr="004A2569">
        <w:rPr>
          <w:i/>
          <w:iCs/>
          <w:sz w:val="24"/>
          <w:szCs w:val="24"/>
        </w:rPr>
        <w:t>D</w:t>
      </w:r>
      <w:r w:rsidR="008853D4" w:rsidRPr="004A2569">
        <w:rPr>
          <w:i/>
          <w:iCs/>
          <w:sz w:val="24"/>
          <w:szCs w:val="24"/>
        </w:rPr>
        <w:t>irector (PD)</w:t>
      </w:r>
      <w:r w:rsidRPr="004A2569">
        <w:rPr>
          <w:i/>
          <w:iCs/>
          <w:sz w:val="24"/>
          <w:szCs w:val="24"/>
        </w:rPr>
        <w:t>/P</w:t>
      </w:r>
      <w:r w:rsidR="008853D4" w:rsidRPr="004A2569">
        <w:rPr>
          <w:i/>
          <w:iCs/>
          <w:sz w:val="24"/>
          <w:szCs w:val="24"/>
        </w:rPr>
        <w:t>rincipal Investigator (P</w:t>
      </w:r>
      <w:r w:rsidRPr="004A2569">
        <w:rPr>
          <w:i/>
          <w:iCs/>
          <w:sz w:val="24"/>
          <w:szCs w:val="24"/>
        </w:rPr>
        <w:t>I</w:t>
      </w:r>
      <w:r w:rsidR="008853D4" w:rsidRPr="004A2569">
        <w:rPr>
          <w:i/>
          <w:iCs/>
          <w:sz w:val="24"/>
          <w:szCs w:val="24"/>
        </w:rPr>
        <w:t>)</w:t>
      </w:r>
      <w:r w:rsidRPr="004A2569">
        <w:rPr>
          <w:i/>
          <w:iCs/>
          <w:sz w:val="24"/>
          <w:szCs w:val="24"/>
        </w:rPr>
        <w:t xml:space="preserve"> (required)</w:t>
      </w:r>
    </w:p>
    <w:p w14:paraId="47990C11" w14:textId="77777777" w:rsidR="005E4FDC" w:rsidRPr="004A2569" w:rsidRDefault="005E4FDC" w:rsidP="004A2569">
      <w:pPr>
        <w:numPr>
          <w:ilvl w:val="1"/>
          <w:numId w:val="11"/>
        </w:numPr>
        <w:autoSpaceDE w:val="0"/>
        <w:autoSpaceDN w:val="0"/>
        <w:spacing w:after="0"/>
        <w:rPr>
          <w:i/>
          <w:iCs/>
          <w:sz w:val="24"/>
          <w:szCs w:val="24"/>
        </w:rPr>
      </w:pPr>
      <w:r w:rsidRPr="004A2569">
        <w:rPr>
          <w:i/>
          <w:iCs/>
          <w:sz w:val="24"/>
          <w:szCs w:val="24"/>
        </w:rPr>
        <w:t>Institutional Review Board (IRB) (required)</w:t>
      </w:r>
    </w:p>
    <w:p w14:paraId="045C9E18" w14:textId="77777777" w:rsidR="005E4FDC" w:rsidRPr="004A2569" w:rsidRDefault="005E4FDC" w:rsidP="004A2569">
      <w:pPr>
        <w:numPr>
          <w:ilvl w:val="1"/>
          <w:numId w:val="11"/>
        </w:numPr>
        <w:autoSpaceDE w:val="0"/>
        <w:autoSpaceDN w:val="0"/>
        <w:spacing w:after="0"/>
        <w:rPr>
          <w:i/>
          <w:iCs/>
          <w:sz w:val="24"/>
          <w:szCs w:val="24"/>
        </w:rPr>
      </w:pPr>
      <w:r w:rsidRPr="004A2569">
        <w:rPr>
          <w:i/>
          <w:iCs/>
          <w:sz w:val="24"/>
          <w:szCs w:val="24"/>
        </w:rPr>
        <w:t>Designated medical monitor</w:t>
      </w:r>
    </w:p>
    <w:p w14:paraId="6E902B52" w14:textId="77777777" w:rsidR="005E4FDC" w:rsidRPr="004A2569" w:rsidRDefault="005E4FDC" w:rsidP="004A2569">
      <w:pPr>
        <w:numPr>
          <w:ilvl w:val="1"/>
          <w:numId w:val="11"/>
        </w:numPr>
        <w:autoSpaceDE w:val="0"/>
        <w:autoSpaceDN w:val="0"/>
        <w:spacing w:after="0"/>
        <w:rPr>
          <w:i/>
          <w:iCs/>
          <w:sz w:val="24"/>
          <w:szCs w:val="24"/>
        </w:rPr>
      </w:pPr>
      <w:r w:rsidRPr="004A2569">
        <w:rPr>
          <w:i/>
          <w:iCs/>
          <w:sz w:val="24"/>
          <w:szCs w:val="24"/>
        </w:rPr>
        <w:t>Internal Committee or Board</w:t>
      </w:r>
    </w:p>
    <w:p w14:paraId="35F28207" w14:textId="445695D2" w:rsidR="00A00D9A" w:rsidRPr="004A2569" w:rsidRDefault="005E4FDC" w:rsidP="004A2569">
      <w:pPr>
        <w:numPr>
          <w:ilvl w:val="1"/>
          <w:numId w:val="11"/>
        </w:numPr>
        <w:autoSpaceDE w:val="0"/>
        <w:autoSpaceDN w:val="0"/>
        <w:spacing w:after="0"/>
        <w:rPr>
          <w:i/>
          <w:iCs/>
          <w:sz w:val="24"/>
          <w:szCs w:val="24"/>
        </w:rPr>
      </w:pPr>
      <w:r w:rsidRPr="004A2569">
        <w:rPr>
          <w:i/>
          <w:iCs/>
          <w:sz w:val="24"/>
          <w:szCs w:val="24"/>
        </w:rPr>
        <w:t>Independent, NIAMS-appointed Monitoring Body (MB) which can include a Data and Safety Monitoring Board (DSMB), an Observational Study Monitoring Board (OSMB), a Safety Officer (SO)</w:t>
      </w:r>
      <w:r w:rsidR="009F2DB9" w:rsidRPr="004A2569">
        <w:rPr>
          <w:i/>
          <w:iCs/>
          <w:sz w:val="24"/>
          <w:szCs w:val="24"/>
        </w:rPr>
        <w:t xml:space="preserve"> or Dual SO</w:t>
      </w:r>
      <w:r w:rsidR="00F05604" w:rsidRPr="004A2569">
        <w:rPr>
          <w:i/>
          <w:iCs/>
          <w:sz w:val="24"/>
          <w:szCs w:val="24"/>
        </w:rPr>
        <w:t>s</w:t>
      </w:r>
      <w:r w:rsidRPr="004A2569">
        <w:rPr>
          <w:i/>
          <w:iCs/>
          <w:sz w:val="24"/>
          <w:szCs w:val="24"/>
        </w:rPr>
        <w:t xml:space="preserve"> </w:t>
      </w:r>
    </w:p>
    <w:p w14:paraId="21B4BEBA" w14:textId="77777777" w:rsidR="008853D4" w:rsidRPr="004A2569" w:rsidRDefault="008853D4" w:rsidP="004A2569">
      <w:pPr>
        <w:numPr>
          <w:ilvl w:val="0"/>
          <w:numId w:val="11"/>
        </w:numPr>
        <w:autoSpaceDE w:val="0"/>
        <w:autoSpaceDN w:val="0"/>
        <w:spacing w:after="0"/>
        <w:rPr>
          <w:i/>
          <w:iCs/>
          <w:sz w:val="24"/>
          <w:szCs w:val="24"/>
        </w:rPr>
      </w:pPr>
      <w:r w:rsidRPr="004A2569">
        <w:rPr>
          <w:i/>
          <w:iCs/>
          <w:sz w:val="24"/>
          <w:szCs w:val="24"/>
        </w:rPr>
        <w:t>Content and format of the safety report</w:t>
      </w:r>
    </w:p>
    <w:p w14:paraId="7BDF0D4D" w14:textId="56FFBDDC" w:rsidR="356F8E96" w:rsidRPr="004A2569" w:rsidRDefault="356F8E96" w:rsidP="2BD67300">
      <w:pPr>
        <w:numPr>
          <w:ilvl w:val="0"/>
          <w:numId w:val="11"/>
        </w:numPr>
        <w:rPr>
          <w:i/>
          <w:iCs/>
          <w:sz w:val="24"/>
          <w:szCs w:val="24"/>
        </w:rPr>
      </w:pPr>
      <w:r w:rsidRPr="004A2569">
        <w:rPr>
          <w:i/>
          <w:iCs/>
          <w:sz w:val="24"/>
          <w:szCs w:val="24"/>
        </w:rPr>
        <w:t xml:space="preserve">Data Management, Quality </w:t>
      </w:r>
      <w:r w:rsidR="00F05604" w:rsidRPr="004A2569">
        <w:rPr>
          <w:i/>
          <w:iCs/>
          <w:sz w:val="24"/>
          <w:szCs w:val="24"/>
        </w:rPr>
        <w:t>C</w:t>
      </w:r>
      <w:r w:rsidRPr="004A2569">
        <w:rPr>
          <w:i/>
          <w:iCs/>
          <w:sz w:val="24"/>
          <w:szCs w:val="24"/>
        </w:rPr>
        <w:t>ontrol and Quality Assurance</w:t>
      </w:r>
    </w:p>
    <w:p w14:paraId="30F67E41" w14:textId="67931CE1" w:rsidR="00A00D9A" w:rsidRPr="004A2569" w:rsidRDefault="00BF3726" w:rsidP="00A44F70">
      <w:pPr>
        <w:pStyle w:val="BodyText"/>
        <w:rPr>
          <w:i/>
          <w:iCs/>
        </w:rPr>
        <w:sectPr w:rsidR="00A00D9A" w:rsidRPr="004A2569" w:rsidSect="00504227">
          <w:pgSz w:w="12240" w:h="15840" w:code="1"/>
          <w:pgMar w:top="1440" w:right="1440" w:bottom="1440" w:left="1440" w:header="720" w:footer="720" w:gutter="0"/>
          <w:pgNumType w:fmt="lowerRoman" w:start="1"/>
          <w:cols w:space="720"/>
          <w:noEndnote/>
        </w:sectPr>
      </w:pPr>
      <w:r w:rsidRPr="004A2569">
        <w:rPr>
          <w:i/>
          <w:iCs/>
        </w:rPr>
        <w:t xml:space="preserve">Note that all instructions and </w:t>
      </w:r>
      <w:r w:rsidR="00AF40C2" w:rsidRPr="004A2569">
        <w:rPr>
          <w:i/>
          <w:iCs/>
        </w:rPr>
        <w:t>sample</w:t>
      </w:r>
      <w:r w:rsidRPr="004A2569">
        <w:rPr>
          <w:i/>
          <w:iCs/>
        </w:rPr>
        <w:t xml:space="preserve"> text are shown in </w:t>
      </w:r>
      <w:r w:rsidR="00803BC7" w:rsidRPr="004A2569">
        <w:rPr>
          <w:i/>
          <w:iCs/>
        </w:rPr>
        <w:t xml:space="preserve">blue </w:t>
      </w:r>
      <w:r w:rsidRPr="004A2569">
        <w:rPr>
          <w:i/>
          <w:iCs/>
        </w:rPr>
        <w:t>italics and should be replaced with the study specific text. There is no need to include sections that are not relevant to the particular study</w:t>
      </w:r>
      <w:r w:rsidR="00593432" w:rsidRPr="004A2569">
        <w:rPr>
          <w:i/>
          <w:iCs/>
        </w:rPr>
        <w:t xml:space="preserve">. </w:t>
      </w:r>
      <w:r w:rsidR="00593432" w:rsidRPr="004A2569">
        <w:rPr>
          <w:b/>
          <w:u w:val="single"/>
        </w:rPr>
        <w:t xml:space="preserve">Please do not use the </w:t>
      </w:r>
      <w:r w:rsidR="00AF40C2" w:rsidRPr="004A2569">
        <w:rPr>
          <w:b/>
          <w:u w:val="single"/>
        </w:rPr>
        <w:t xml:space="preserve">sample </w:t>
      </w:r>
      <w:r w:rsidR="00593432" w:rsidRPr="004A2569">
        <w:rPr>
          <w:b/>
          <w:u w:val="single"/>
        </w:rPr>
        <w:t>text verbatim.</w:t>
      </w:r>
    </w:p>
    <w:p w14:paraId="3218800D" w14:textId="1F367A38" w:rsidR="00504227" w:rsidRPr="00D711C0" w:rsidRDefault="00504227" w:rsidP="00D711C0">
      <w:pPr>
        <w:pStyle w:val="Heading1"/>
        <w:spacing w:before="0"/>
        <w:jc w:val="center"/>
        <w:rPr>
          <w:sz w:val="32"/>
          <w:szCs w:val="32"/>
        </w:rPr>
      </w:pPr>
      <w:r w:rsidRPr="00D711C0">
        <w:rPr>
          <w:sz w:val="32"/>
          <w:szCs w:val="32"/>
        </w:rPr>
        <w:lastRenderedPageBreak/>
        <w:t>TABLE OF CONTENTS</w:t>
      </w:r>
    </w:p>
    <w:p w14:paraId="6D74EAC0" w14:textId="7BA6CC87" w:rsidR="00504227" w:rsidRPr="00E00981" w:rsidRDefault="00504227" w:rsidP="00504227">
      <w:pPr>
        <w:pStyle w:val="Default"/>
        <w:jc w:val="right"/>
        <w:rPr>
          <w:color w:val="auto"/>
          <w:sz w:val="22"/>
          <w:szCs w:val="22"/>
          <w:u w:val="single"/>
        </w:rPr>
      </w:pPr>
      <w:r w:rsidRPr="00E00981">
        <w:rPr>
          <w:color w:val="auto"/>
          <w:sz w:val="22"/>
          <w:szCs w:val="22"/>
          <w:u w:val="single"/>
        </w:rPr>
        <w:t>Page</w:t>
      </w:r>
    </w:p>
    <w:p w14:paraId="09D66EB0" w14:textId="4553E0D2" w:rsidR="00A76B62" w:rsidRPr="00A76B62" w:rsidRDefault="00504227" w:rsidP="00A76B62">
      <w:pPr>
        <w:pStyle w:val="TOC1"/>
        <w:rPr>
          <w:rFonts w:eastAsiaTheme="minorEastAsia"/>
        </w:rPr>
      </w:pPr>
      <w:r w:rsidRPr="00A76B62">
        <w:rPr>
          <w:u w:val="single"/>
        </w:rPr>
        <w:fldChar w:fldCharType="begin"/>
      </w:r>
      <w:r w:rsidRPr="00A76B62">
        <w:rPr>
          <w:u w:val="single"/>
        </w:rPr>
        <w:instrText xml:space="preserve"> TOC \o "1-3" \h \z \u </w:instrText>
      </w:r>
      <w:r w:rsidRPr="00A76B62">
        <w:rPr>
          <w:u w:val="single"/>
        </w:rPr>
        <w:fldChar w:fldCharType="separate"/>
      </w:r>
      <w:hyperlink w:anchor="_Toc50553233" w:history="1">
        <w:r w:rsidR="00A76B62" w:rsidRPr="00A76B62">
          <w:rPr>
            <w:rStyle w:val="Hyperlink"/>
          </w:rPr>
          <w:t>1.0 STUDY OVERVIEW</w:t>
        </w:r>
        <w:r w:rsidR="00A76B62" w:rsidRPr="00A76B62">
          <w:rPr>
            <w:webHidden/>
          </w:rPr>
          <w:tab/>
        </w:r>
        <w:r w:rsidR="00A76B62" w:rsidRPr="00A76B62">
          <w:rPr>
            <w:webHidden/>
          </w:rPr>
          <w:fldChar w:fldCharType="begin"/>
        </w:r>
        <w:r w:rsidR="00A76B62" w:rsidRPr="00A76B62">
          <w:rPr>
            <w:webHidden/>
          </w:rPr>
          <w:instrText xml:space="preserve"> PAGEREF _Toc50553233 \h </w:instrText>
        </w:r>
        <w:r w:rsidR="00A76B62" w:rsidRPr="00A76B62">
          <w:rPr>
            <w:webHidden/>
          </w:rPr>
        </w:r>
        <w:r w:rsidR="00A76B62" w:rsidRPr="00A76B62">
          <w:rPr>
            <w:webHidden/>
          </w:rPr>
          <w:fldChar w:fldCharType="separate"/>
        </w:r>
        <w:r w:rsidR="00EE1631">
          <w:rPr>
            <w:webHidden/>
          </w:rPr>
          <w:t>4</w:t>
        </w:r>
        <w:r w:rsidR="00A76B62" w:rsidRPr="00A76B62">
          <w:rPr>
            <w:webHidden/>
          </w:rPr>
          <w:fldChar w:fldCharType="end"/>
        </w:r>
      </w:hyperlink>
    </w:p>
    <w:p w14:paraId="02610C6A" w14:textId="4F226D4B" w:rsidR="00A76B62" w:rsidRPr="00A76B62" w:rsidRDefault="00B03F19" w:rsidP="00A44F70">
      <w:pPr>
        <w:pStyle w:val="TOC2"/>
        <w:rPr>
          <w:rFonts w:eastAsiaTheme="minorEastAsia"/>
        </w:rPr>
      </w:pPr>
      <w:hyperlink w:anchor="_Toc50553234" w:history="1">
        <w:r w:rsidR="00A76B62" w:rsidRPr="00A76B62">
          <w:rPr>
            <w:rStyle w:val="Hyperlink"/>
          </w:rPr>
          <w:t>1.1 Study Description</w:t>
        </w:r>
        <w:r w:rsidR="00A76B62" w:rsidRPr="00A76B62">
          <w:rPr>
            <w:webHidden/>
          </w:rPr>
          <w:tab/>
        </w:r>
        <w:r w:rsidR="00A76B62" w:rsidRPr="00A76B62">
          <w:rPr>
            <w:webHidden/>
          </w:rPr>
          <w:fldChar w:fldCharType="begin"/>
        </w:r>
        <w:r w:rsidR="00A76B62" w:rsidRPr="00A76B62">
          <w:rPr>
            <w:webHidden/>
          </w:rPr>
          <w:instrText xml:space="preserve"> PAGEREF _Toc50553234 \h </w:instrText>
        </w:r>
        <w:r w:rsidR="00A76B62" w:rsidRPr="00A76B62">
          <w:rPr>
            <w:webHidden/>
          </w:rPr>
        </w:r>
        <w:r w:rsidR="00A76B62" w:rsidRPr="00A76B62">
          <w:rPr>
            <w:webHidden/>
          </w:rPr>
          <w:fldChar w:fldCharType="separate"/>
        </w:r>
        <w:r w:rsidR="00EE1631">
          <w:rPr>
            <w:webHidden/>
          </w:rPr>
          <w:t>4</w:t>
        </w:r>
        <w:r w:rsidR="00A76B62" w:rsidRPr="00A76B62">
          <w:rPr>
            <w:webHidden/>
          </w:rPr>
          <w:fldChar w:fldCharType="end"/>
        </w:r>
      </w:hyperlink>
    </w:p>
    <w:p w14:paraId="6025F401" w14:textId="69CDA4AC" w:rsidR="00A76B62" w:rsidRPr="00A76B62" w:rsidRDefault="00B03F19" w:rsidP="00A44F70">
      <w:pPr>
        <w:pStyle w:val="TOC2"/>
        <w:rPr>
          <w:rFonts w:eastAsiaTheme="minorEastAsia"/>
        </w:rPr>
      </w:pPr>
      <w:hyperlink w:anchor="_Toc50553235" w:history="1">
        <w:r w:rsidR="00A76B62" w:rsidRPr="00A76B62">
          <w:rPr>
            <w:rStyle w:val="Hyperlink"/>
          </w:rPr>
          <w:t>1.2 Study Management</w:t>
        </w:r>
        <w:r w:rsidR="00A76B62" w:rsidRPr="00A76B62">
          <w:rPr>
            <w:webHidden/>
          </w:rPr>
          <w:tab/>
        </w:r>
        <w:r w:rsidR="00A76B62" w:rsidRPr="00A76B62">
          <w:rPr>
            <w:webHidden/>
          </w:rPr>
          <w:fldChar w:fldCharType="begin"/>
        </w:r>
        <w:r w:rsidR="00A76B62" w:rsidRPr="00A76B62">
          <w:rPr>
            <w:webHidden/>
          </w:rPr>
          <w:instrText xml:space="preserve"> PAGEREF _Toc50553235 \h </w:instrText>
        </w:r>
        <w:r w:rsidR="00A76B62" w:rsidRPr="00A76B62">
          <w:rPr>
            <w:webHidden/>
          </w:rPr>
        </w:r>
        <w:r w:rsidR="00A76B62" w:rsidRPr="00A76B62">
          <w:rPr>
            <w:webHidden/>
          </w:rPr>
          <w:fldChar w:fldCharType="separate"/>
        </w:r>
        <w:r w:rsidR="00EE1631">
          <w:rPr>
            <w:webHidden/>
          </w:rPr>
          <w:t>4</w:t>
        </w:r>
        <w:r w:rsidR="00A76B62" w:rsidRPr="00A76B62">
          <w:rPr>
            <w:webHidden/>
          </w:rPr>
          <w:fldChar w:fldCharType="end"/>
        </w:r>
      </w:hyperlink>
    </w:p>
    <w:p w14:paraId="2B0EBEBB" w14:textId="12390619" w:rsidR="00A76B62" w:rsidRPr="00A76B62" w:rsidRDefault="00B03F19" w:rsidP="00A76B62">
      <w:pPr>
        <w:pStyle w:val="TOC1"/>
        <w:rPr>
          <w:rFonts w:eastAsiaTheme="minorEastAsia"/>
        </w:rPr>
      </w:pPr>
      <w:hyperlink w:anchor="_Toc50553236" w:history="1">
        <w:r w:rsidR="00A76B62" w:rsidRPr="00A76B62">
          <w:rPr>
            <w:rStyle w:val="Hyperlink"/>
            <w:caps/>
          </w:rPr>
          <w:t>2.0 Participant Safety</w:t>
        </w:r>
        <w:r w:rsidR="00A76B62" w:rsidRPr="00A76B62">
          <w:rPr>
            <w:webHidden/>
          </w:rPr>
          <w:tab/>
        </w:r>
        <w:r w:rsidR="00A76B62" w:rsidRPr="00A76B62">
          <w:rPr>
            <w:webHidden/>
          </w:rPr>
          <w:fldChar w:fldCharType="begin"/>
        </w:r>
        <w:r w:rsidR="00A76B62" w:rsidRPr="00A76B62">
          <w:rPr>
            <w:webHidden/>
          </w:rPr>
          <w:instrText xml:space="preserve"> PAGEREF _Toc50553236 \h </w:instrText>
        </w:r>
        <w:r w:rsidR="00A76B62" w:rsidRPr="00A76B62">
          <w:rPr>
            <w:webHidden/>
          </w:rPr>
        </w:r>
        <w:r w:rsidR="00A76B62" w:rsidRPr="00A76B62">
          <w:rPr>
            <w:webHidden/>
          </w:rPr>
          <w:fldChar w:fldCharType="separate"/>
        </w:r>
        <w:r w:rsidR="00EE1631">
          <w:rPr>
            <w:webHidden/>
          </w:rPr>
          <w:t>4</w:t>
        </w:r>
        <w:r w:rsidR="00A76B62" w:rsidRPr="00A76B62">
          <w:rPr>
            <w:webHidden/>
          </w:rPr>
          <w:fldChar w:fldCharType="end"/>
        </w:r>
      </w:hyperlink>
    </w:p>
    <w:p w14:paraId="6FB7D9C8" w14:textId="5D84DC57" w:rsidR="00A76B62" w:rsidRPr="00A76B62" w:rsidRDefault="00B03F19" w:rsidP="00A44F70">
      <w:pPr>
        <w:pStyle w:val="TOC2"/>
        <w:rPr>
          <w:rFonts w:eastAsiaTheme="minorEastAsia"/>
        </w:rPr>
      </w:pPr>
      <w:hyperlink w:anchor="_Toc50553237" w:history="1">
        <w:r w:rsidR="00A76B62" w:rsidRPr="00A76B62">
          <w:rPr>
            <w:rStyle w:val="Hyperlink"/>
          </w:rPr>
          <w:t>2.1 Potential Risks and Benefits for Participants</w:t>
        </w:r>
        <w:r w:rsidR="00A76B62" w:rsidRPr="00A76B62">
          <w:rPr>
            <w:webHidden/>
          </w:rPr>
          <w:tab/>
        </w:r>
        <w:r w:rsidR="00A76B62" w:rsidRPr="00A76B62">
          <w:rPr>
            <w:webHidden/>
          </w:rPr>
          <w:fldChar w:fldCharType="begin"/>
        </w:r>
        <w:r w:rsidR="00A76B62" w:rsidRPr="00A76B62">
          <w:rPr>
            <w:webHidden/>
          </w:rPr>
          <w:instrText xml:space="preserve"> PAGEREF _Toc50553237 \h </w:instrText>
        </w:r>
        <w:r w:rsidR="00A76B62" w:rsidRPr="00A76B62">
          <w:rPr>
            <w:webHidden/>
          </w:rPr>
        </w:r>
        <w:r w:rsidR="00A76B62" w:rsidRPr="00A76B62">
          <w:rPr>
            <w:webHidden/>
          </w:rPr>
          <w:fldChar w:fldCharType="separate"/>
        </w:r>
        <w:r w:rsidR="00EE1631">
          <w:rPr>
            <w:webHidden/>
          </w:rPr>
          <w:t>4</w:t>
        </w:r>
        <w:r w:rsidR="00A76B62" w:rsidRPr="00A76B62">
          <w:rPr>
            <w:webHidden/>
          </w:rPr>
          <w:fldChar w:fldCharType="end"/>
        </w:r>
      </w:hyperlink>
    </w:p>
    <w:p w14:paraId="7B2AC34A" w14:textId="717ED749" w:rsidR="00A76B62" w:rsidRPr="00A76B62" w:rsidRDefault="00B03F19" w:rsidP="00A44F70">
      <w:pPr>
        <w:pStyle w:val="TOC3"/>
        <w:rPr>
          <w:rFonts w:eastAsiaTheme="minorEastAsia"/>
          <w:b/>
          <w:bCs/>
        </w:rPr>
      </w:pPr>
      <w:hyperlink w:anchor="_Toc50553238" w:history="1">
        <w:r w:rsidR="00A76B62" w:rsidRPr="00A76B62">
          <w:rPr>
            <w:rStyle w:val="Hyperlink"/>
          </w:rPr>
          <w:t>2.1.1 Potential Risks</w:t>
        </w:r>
        <w:r w:rsidR="00A76B62" w:rsidRPr="00A76B62">
          <w:rPr>
            <w:webHidden/>
          </w:rPr>
          <w:tab/>
        </w:r>
        <w:r w:rsidR="00A76B62" w:rsidRPr="00A76B62">
          <w:rPr>
            <w:b/>
            <w:bCs/>
            <w:webHidden/>
          </w:rPr>
          <w:fldChar w:fldCharType="begin"/>
        </w:r>
        <w:r w:rsidR="00A76B62" w:rsidRPr="00A76B62">
          <w:rPr>
            <w:webHidden/>
          </w:rPr>
          <w:instrText xml:space="preserve"> PAGEREF _Toc50553238 \h </w:instrText>
        </w:r>
        <w:r w:rsidR="00A76B62" w:rsidRPr="00A76B62">
          <w:rPr>
            <w:b/>
            <w:bCs/>
            <w:webHidden/>
          </w:rPr>
        </w:r>
        <w:r w:rsidR="00A76B62" w:rsidRPr="00A76B62">
          <w:rPr>
            <w:b/>
            <w:bCs/>
            <w:webHidden/>
          </w:rPr>
          <w:fldChar w:fldCharType="separate"/>
        </w:r>
        <w:r w:rsidR="00EE1631">
          <w:rPr>
            <w:webHidden/>
          </w:rPr>
          <w:t>4</w:t>
        </w:r>
        <w:r w:rsidR="00A76B62" w:rsidRPr="00A76B62">
          <w:rPr>
            <w:b/>
            <w:bCs/>
            <w:webHidden/>
          </w:rPr>
          <w:fldChar w:fldCharType="end"/>
        </w:r>
      </w:hyperlink>
    </w:p>
    <w:p w14:paraId="3292F4FB" w14:textId="1FEB0C2D" w:rsidR="00A76B62" w:rsidRPr="00A76B62" w:rsidRDefault="00B03F19" w:rsidP="00A44F70">
      <w:pPr>
        <w:pStyle w:val="TOC3"/>
        <w:rPr>
          <w:rFonts w:eastAsiaTheme="minorEastAsia"/>
          <w:b/>
          <w:bCs/>
        </w:rPr>
      </w:pPr>
      <w:hyperlink w:anchor="_Toc50553239" w:history="1">
        <w:r w:rsidR="00A76B62" w:rsidRPr="00A76B62">
          <w:rPr>
            <w:rStyle w:val="Hyperlink"/>
          </w:rPr>
          <w:t>2.1.2 Potential Benefits</w:t>
        </w:r>
        <w:r w:rsidR="00A76B62" w:rsidRPr="00A76B62">
          <w:rPr>
            <w:webHidden/>
          </w:rPr>
          <w:tab/>
        </w:r>
        <w:r w:rsidR="00A76B62" w:rsidRPr="00A76B62">
          <w:rPr>
            <w:b/>
            <w:bCs/>
            <w:webHidden/>
          </w:rPr>
          <w:fldChar w:fldCharType="begin"/>
        </w:r>
        <w:r w:rsidR="00A76B62" w:rsidRPr="00A76B62">
          <w:rPr>
            <w:webHidden/>
          </w:rPr>
          <w:instrText xml:space="preserve"> PAGEREF _Toc50553239 \h </w:instrText>
        </w:r>
        <w:r w:rsidR="00A76B62" w:rsidRPr="00A76B62">
          <w:rPr>
            <w:b/>
            <w:bCs/>
            <w:webHidden/>
          </w:rPr>
        </w:r>
        <w:r w:rsidR="00A76B62" w:rsidRPr="00A76B62">
          <w:rPr>
            <w:b/>
            <w:bCs/>
            <w:webHidden/>
          </w:rPr>
          <w:fldChar w:fldCharType="separate"/>
        </w:r>
        <w:r w:rsidR="00EE1631">
          <w:rPr>
            <w:webHidden/>
          </w:rPr>
          <w:t>4</w:t>
        </w:r>
        <w:r w:rsidR="00A76B62" w:rsidRPr="00A76B62">
          <w:rPr>
            <w:b/>
            <w:bCs/>
            <w:webHidden/>
          </w:rPr>
          <w:fldChar w:fldCharType="end"/>
        </w:r>
      </w:hyperlink>
    </w:p>
    <w:p w14:paraId="4ACD07D7" w14:textId="6D7F6077" w:rsidR="00A76B62" w:rsidRPr="00A76B62" w:rsidRDefault="00B03F19" w:rsidP="00A44F70">
      <w:pPr>
        <w:pStyle w:val="TOC2"/>
        <w:rPr>
          <w:rFonts w:eastAsiaTheme="minorEastAsia"/>
        </w:rPr>
      </w:pPr>
      <w:hyperlink w:anchor="_Toc50553240" w:history="1">
        <w:r w:rsidR="00A76B62" w:rsidRPr="00A76B62">
          <w:rPr>
            <w:rStyle w:val="Hyperlink"/>
          </w:rPr>
          <w:t>2.2 Protection Against Study Risks</w:t>
        </w:r>
        <w:r w:rsidR="00A76B62" w:rsidRPr="00A76B62">
          <w:rPr>
            <w:webHidden/>
          </w:rPr>
          <w:tab/>
        </w:r>
        <w:r w:rsidR="00A76B62" w:rsidRPr="00A76B62">
          <w:rPr>
            <w:webHidden/>
          </w:rPr>
          <w:fldChar w:fldCharType="begin"/>
        </w:r>
        <w:r w:rsidR="00A76B62" w:rsidRPr="00A76B62">
          <w:rPr>
            <w:webHidden/>
          </w:rPr>
          <w:instrText xml:space="preserve"> PAGEREF _Toc50553240 \h </w:instrText>
        </w:r>
        <w:r w:rsidR="00A76B62" w:rsidRPr="00A76B62">
          <w:rPr>
            <w:webHidden/>
          </w:rPr>
        </w:r>
        <w:r w:rsidR="00A76B62" w:rsidRPr="00A76B62">
          <w:rPr>
            <w:webHidden/>
          </w:rPr>
          <w:fldChar w:fldCharType="separate"/>
        </w:r>
        <w:r w:rsidR="00EE1631">
          <w:rPr>
            <w:webHidden/>
          </w:rPr>
          <w:t>5</w:t>
        </w:r>
        <w:r w:rsidR="00A76B62" w:rsidRPr="00A76B62">
          <w:rPr>
            <w:webHidden/>
          </w:rPr>
          <w:fldChar w:fldCharType="end"/>
        </w:r>
      </w:hyperlink>
    </w:p>
    <w:p w14:paraId="36B2A7F6" w14:textId="010AE83D" w:rsidR="00A76B62" w:rsidRPr="00A76B62" w:rsidRDefault="00B03F19" w:rsidP="00A44F70">
      <w:pPr>
        <w:pStyle w:val="TOC3"/>
        <w:rPr>
          <w:rFonts w:eastAsiaTheme="minorEastAsia"/>
        </w:rPr>
      </w:pPr>
      <w:hyperlink w:anchor="_Toc50553241" w:history="1">
        <w:r w:rsidR="00A76B62" w:rsidRPr="00A76B62">
          <w:rPr>
            <w:rStyle w:val="Hyperlink"/>
          </w:rPr>
          <w:t>2.2.1 Informed Consent Process</w:t>
        </w:r>
        <w:r w:rsidR="00A76B62" w:rsidRPr="00A76B62">
          <w:rPr>
            <w:webHidden/>
          </w:rPr>
          <w:tab/>
        </w:r>
        <w:r w:rsidR="00A76B62" w:rsidRPr="00A76B62">
          <w:rPr>
            <w:webHidden/>
          </w:rPr>
          <w:fldChar w:fldCharType="begin"/>
        </w:r>
        <w:r w:rsidR="00A76B62" w:rsidRPr="00A76B62">
          <w:rPr>
            <w:webHidden/>
          </w:rPr>
          <w:instrText xml:space="preserve"> PAGEREF _Toc50553241 \h </w:instrText>
        </w:r>
        <w:r w:rsidR="00A76B62" w:rsidRPr="00A76B62">
          <w:rPr>
            <w:webHidden/>
          </w:rPr>
        </w:r>
        <w:r w:rsidR="00A76B62" w:rsidRPr="00A76B62">
          <w:rPr>
            <w:webHidden/>
          </w:rPr>
          <w:fldChar w:fldCharType="separate"/>
        </w:r>
        <w:r w:rsidR="00EE1631">
          <w:rPr>
            <w:webHidden/>
          </w:rPr>
          <w:t>5</w:t>
        </w:r>
        <w:r w:rsidR="00A76B62" w:rsidRPr="00A76B62">
          <w:rPr>
            <w:webHidden/>
          </w:rPr>
          <w:fldChar w:fldCharType="end"/>
        </w:r>
      </w:hyperlink>
    </w:p>
    <w:p w14:paraId="7EE24E92" w14:textId="490417C5" w:rsidR="00A76B62" w:rsidRPr="00A76B62" w:rsidRDefault="00B03F19" w:rsidP="00A76B62">
      <w:pPr>
        <w:pStyle w:val="TOC1"/>
        <w:rPr>
          <w:rFonts w:eastAsiaTheme="minorEastAsia"/>
        </w:rPr>
      </w:pPr>
      <w:hyperlink w:anchor="_Toc50553242" w:history="1">
        <w:r w:rsidR="00A76B62" w:rsidRPr="00A76B62">
          <w:rPr>
            <w:rStyle w:val="Hyperlink"/>
          </w:rPr>
          <w:t>3.0 REPORTABLE EVENTS</w:t>
        </w:r>
        <w:r w:rsidR="00A76B62" w:rsidRPr="00A76B62">
          <w:rPr>
            <w:webHidden/>
          </w:rPr>
          <w:tab/>
        </w:r>
        <w:r w:rsidR="00A76B62" w:rsidRPr="00A76B62">
          <w:rPr>
            <w:webHidden/>
          </w:rPr>
          <w:fldChar w:fldCharType="begin"/>
        </w:r>
        <w:r w:rsidR="00A76B62" w:rsidRPr="00A76B62">
          <w:rPr>
            <w:webHidden/>
          </w:rPr>
          <w:instrText xml:space="preserve"> PAGEREF _Toc50553242 \h </w:instrText>
        </w:r>
        <w:r w:rsidR="00A76B62" w:rsidRPr="00A76B62">
          <w:rPr>
            <w:webHidden/>
          </w:rPr>
        </w:r>
        <w:r w:rsidR="00A76B62" w:rsidRPr="00A76B62">
          <w:rPr>
            <w:webHidden/>
          </w:rPr>
          <w:fldChar w:fldCharType="separate"/>
        </w:r>
        <w:r w:rsidR="00EE1631">
          <w:rPr>
            <w:webHidden/>
          </w:rPr>
          <w:t>6</w:t>
        </w:r>
        <w:r w:rsidR="00A76B62" w:rsidRPr="00A76B62">
          <w:rPr>
            <w:webHidden/>
          </w:rPr>
          <w:fldChar w:fldCharType="end"/>
        </w:r>
      </w:hyperlink>
    </w:p>
    <w:p w14:paraId="4AED3ECF" w14:textId="3B740831" w:rsidR="00A76B62" w:rsidRPr="00A76B62" w:rsidRDefault="00B03F19" w:rsidP="00A44F70">
      <w:pPr>
        <w:pStyle w:val="TOC2"/>
        <w:rPr>
          <w:rFonts w:eastAsiaTheme="minorEastAsia"/>
        </w:rPr>
      </w:pPr>
      <w:hyperlink w:anchor="_Toc50553243" w:history="1">
        <w:r w:rsidR="00A76B62" w:rsidRPr="00A76B62">
          <w:rPr>
            <w:rStyle w:val="Hyperlink"/>
          </w:rPr>
          <w:t>3.1 Definitions</w:t>
        </w:r>
        <w:r w:rsidR="00A76B62" w:rsidRPr="00A76B62">
          <w:rPr>
            <w:webHidden/>
          </w:rPr>
          <w:tab/>
        </w:r>
        <w:r w:rsidR="00A76B62" w:rsidRPr="00A76B62">
          <w:rPr>
            <w:webHidden/>
          </w:rPr>
          <w:fldChar w:fldCharType="begin"/>
        </w:r>
        <w:r w:rsidR="00A76B62" w:rsidRPr="00A76B62">
          <w:rPr>
            <w:webHidden/>
          </w:rPr>
          <w:instrText xml:space="preserve"> PAGEREF _Toc50553243 \h </w:instrText>
        </w:r>
        <w:r w:rsidR="00A76B62" w:rsidRPr="00A76B62">
          <w:rPr>
            <w:webHidden/>
          </w:rPr>
        </w:r>
        <w:r w:rsidR="00A76B62" w:rsidRPr="00A76B62">
          <w:rPr>
            <w:webHidden/>
          </w:rPr>
          <w:fldChar w:fldCharType="separate"/>
        </w:r>
        <w:r w:rsidR="00EE1631">
          <w:rPr>
            <w:webHidden/>
          </w:rPr>
          <w:t>6</w:t>
        </w:r>
        <w:r w:rsidR="00A76B62" w:rsidRPr="00A76B62">
          <w:rPr>
            <w:webHidden/>
          </w:rPr>
          <w:fldChar w:fldCharType="end"/>
        </w:r>
      </w:hyperlink>
    </w:p>
    <w:p w14:paraId="0A8F6A23" w14:textId="04C897AC" w:rsidR="00A76B62" w:rsidRPr="00A76B62" w:rsidRDefault="00B03F19" w:rsidP="00A44F70">
      <w:pPr>
        <w:pStyle w:val="TOC3"/>
        <w:rPr>
          <w:rFonts w:eastAsiaTheme="minorEastAsia"/>
          <w:b/>
          <w:bCs/>
        </w:rPr>
      </w:pPr>
      <w:hyperlink w:anchor="_Toc50553244" w:history="1">
        <w:r w:rsidR="00A76B62" w:rsidRPr="00A76B62">
          <w:rPr>
            <w:rStyle w:val="Hyperlink"/>
          </w:rPr>
          <w:t>3.1.1 Adverse Events (AEs)</w:t>
        </w:r>
        <w:r w:rsidR="00A76B62" w:rsidRPr="00A76B62">
          <w:rPr>
            <w:webHidden/>
          </w:rPr>
          <w:tab/>
        </w:r>
        <w:r w:rsidR="00A76B62" w:rsidRPr="00A76B62">
          <w:rPr>
            <w:b/>
            <w:bCs/>
            <w:webHidden/>
          </w:rPr>
          <w:fldChar w:fldCharType="begin"/>
        </w:r>
        <w:r w:rsidR="00A76B62" w:rsidRPr="00A76B62">
          <w:rPr>
            <w:webHidden/>
          </w:rPr>
          <w:instrText xml:space="preserve"> PAGEREF _Toc50553244 \h </w:instrText>
        </w:r>
        <w:r w:rsidR="00A76B62" w:rsidRPr="00A76B62">
          <w:rPr>
            <w:b/>
            <w:bCs/>
            <w:webHidden/>
          </w:rPr>
        </w:r>
        <w:r w:rsidR="00A76B62" w:rsidRPr="00A76B62">
          <w:rPr>
            <w:b/>
            <w:bCs/>
            <w:webHidden/>
          </w:rPr>
          <w:fldChar w:fldCharType="separate"/>
        </w:r>
        <w:r w:rsidR="00EE1631">
          <w:rPr>
            <w:webHidden/>
          </w:rPr>
          <w:t>6</w:t>
        </w:r>
        <w:r w:rsidR="00A76B62" w:rsidRPr="00A76B62">
          <w:rPr>
            <w:b/>
            <w:bCs/>
            <w:webHidden/>
          </w:rPr>
          <w:fldChar w:fldCharType="end"/>
        </w:r>
      </w:hyperlink>
    </w:p>
    <w:p w14:paraId="3AE77983" w14:textId="42526390" w:rsidR="00A76B62" w:rsidRPr="00A76B62" w:rsidRDefault="00B03F19" w:rsidP="00A44F70">
      <w:pPr>
        <w:pStyle w:val="TOC3"/>
        <w:rPr>
          <w:rFonts w:eastAsiaTheme="minorEastAsia"/>
          <w:b/>
          <w:bCs/>
        </w:rPr>
      </w:pPr>
      <w:hyperlink w:anchor="_Toc50553245" w:history="1">
        <w:r w:rsidR="00A76B62" w:rsidRPr="00A76B62">
          <w:rPr>
            <w:rStyle w:val="Hyperlink"/>
          </w:rPr>
          <w:t>3.1.2 Serious Adverse Events (SAEs)</w:t>
        </w:r>
        <w:r w:rsidR="00A76B62" w:rsidRPr="00A76B62">
          <w:rPr>
            <w:webHidden/>
          </w:rPr>
          <w:tab/>
        </w:r>
        <w:r w:rsidR="00A76B62" w:rsidRPr="00A76B62">
          <w:rPr>
            <w:b/>
            <w:bCs/>
            <w:webHidden/>
          </w:rPr>
          <w:fldChar w:fldCharType="begin"/>
        </w:r>
        <w:r w:rsidR="00A76B62" w:rsidRPr="00A76B62">
          <w:rPr>
            <w:webHidden/>
          </w:rPr>
          <w:instrText xml:space="preserve"> PAGEREF _Toc50553245 \h </w:instrText>
        </w:r>
        <w:r w:rsidR="00A76B62" w:rsidRPr="00A76B62">
          <w:rPr>
            <w:b/>
            <w:bCs/>
            <w:webHidden/>
          </w:rPr>
        </w:r>
        <w:r w:rsidR="00A76B62" w:rsidRPr="00A76B62">
          <w:rPr>
            <w:b/>
            <w:bCs/>
            <w:webHidden/>
          </w:rPr>
          <w:fldChar w:fldCharType="separate"/>
        </w:r>
        <w:r w:rsidR="00EE1631">
          <w:rPr>
            <w:webHidden/>
          </w:rPr>
          <w:t>7</w:t>
        </w:r>
        <w:r w:rsidR="00A76B62" w:rsidRPr="00A76B62">
          <w:rPr>
            <w:b/>
            <w:bCs/>
            <w:webHidden/>
          </w:rPr>
          <w:fldChar w:fldCharType="end"/>
        </w:r>
      </w:hyperlink>
    </w:p>
    <w:p w14:paraId="5D2D644A" w14:textId="4B54C854" w:rsidR="00A76B62" w:rsidRPr="00A76B62" w:rsidRDefault="00B03F19" w:rsidP="00A44F70">
      <w:pPr>
        <w:pStyle w:val="TOC3"/>
        <w:rPr>
          <w:rFonts w:eastAsiaTheme="minorEastAsia"/>
          <w:b/>
          <w:bCs/>
        </w:rPr>
      </w:pPr>
      <w:hyperlink w:anchor="_Toc50553246" w:history="1">
        <w:r w:rsidR="00A76B62" w:rsidRPr="00A76B62">
          <w:rPr>
            <w:rStyle w:val="Hyperlink"/>
          </w:rPr>
          <w:t>3.1.3 Unanticipated Problems (UPs)</w:t>
        </w:r>
        <w:r w:rsidR="00A76B62" w:rsidRPr="00A76B62">
          <w:rPr>
            <w:webHidden/>
          </w:rPr>
          <w:tab/>
        </w:r>
        <w:r w:rsidR="00A76B62" w:rsidRPr="00A76B62">
          <w:rPr>
            <w:b/>
            <w:bCs/>
            <w:webHidden/>
          </w:rPr>
          <w:fldChar w:fldCharType="begin"/>
        </w:r>
        <w:r w:rsidR="00A76B62" w:rsidRPr="00A76B62">
          <w:rPr>
            <w:webHidden/>
          </w:rPr>
          <w:instrText xml:space="preserve"> PAGEREF _Toc50553246 \h </w:instrText>
        </w:r>
        <w:r w:rsidR="00A76B62" w:rsidRPr="00A76B62">
          <w:rPr>
            <w:b/>
            <w:bCs/>
            <w:webHidden/>
          </w:rPr>
        </w:r>
        <w:r w:rsidR="00A76B62" w:rsidRPr="00A76B62">
          <w:rPr>
            <w:b/>
            <w:bCs/>
            <w:webHidden/>
          </w:rPr>
          <w:fldChar w:fldCharType="separate"/>
        </w:r>
        <w:r w:rsidR="00EE1631">
          <w:rPr>
            <w:webHidden/>
          </w:rPr>
          <w:t>7</w:t>
        </w:r>
        <w:r w:rsidR="00A76B62" w:rsidRPr="00A76B62">
          <w:rPr>
            <w:b/>
            <w:bCs/>
            <w:webHidden/>
          </w:rPr>
          <w:fldChar w:fldCharType="end"/>
        </w:r>
      </w:hyperlink>
    </w:p>
    <w:p w14:paraId="316D5296" w14:textId="1C608D5F" w:rsidR="00A76B62" w:rsidRPr="00A76B62" w:rsidRDefault="00B03F19" w:rsidP="00A44F70">
      <w:pPr>
        <w:pStyle w:val="TOC3"/>
        <w:rPr>
          <w:rFonts w:eastAsiaTheme="minorEastAsia"/>
          <w:b/>
          <w:bCs/>
        </w:rPr>
      </w:pPr>
      <w:hyperlink w:anchor="_Toc50553247" w:history="1">
        <w:r w:rsidR="00A76B62" w:rsidRPr="00A76B62">
          <w:rPr>
            <w:rStyle w:val="Hyperlink"/>
          </w:rPr>
          <w:t>3.1.4 Protocol Deviations</w:t>
        </w:r>
        <w:r w:rsidR="00A76B62" w:rsidRPr="00A76B62">
          <w:rPr>
            <w:webHidden/>
          </w:rPr>
          <w:tab/>
        </w:r>
        <w:r w:rsidR="00A76B62" w:rsidRPr="00A76B62">
          <w:rPr>
            <w:b/>
            <w:bCs/>
            <w:webHidden/>
          </w:rPr>
          <w:fldChar w:fldCharType="begin"/>
        </w:r>
        <w:r w:rsidR="00A76B62" w:rsidRPr="00A76B62">
          <w:rPr>
            <w:webHidden/>
          </w:rPr>
          <w:instrText xml:space="preserve"> PAGEREF _Toc50553247 \h </w:instrText>
        </w:r>
        <w:r w:rsidR="00A76B62" w:rsidRPr="00A76B62">
          <w:rPr>
            <w:b/>
            <w:bCs/>
            <w:webHidden/>
          </w:rPr>
        </w:r>
        <w:r w:rsidR="00A76B62" w:rsidRPr="00A76B62">
          <w:rPr>
            <w:b/>
            <w:bCs/>
            <w:webHidden/>
          </w:rPr>
          <w:fldChar w:fldCharType="separate"/>
        </w:r>
        <w:r w:rsidR="00EE1631">
          <w:rPr>
            <w:webHidden/>
          </w:rPr>
          <w:t>8</w:t>
        </w:r>
        <w:r w:rsidR="00A76B62" w:rsidRPr="00A76B62">
          <w:rPr>
            <w:b/>
            <w:bCs/>
            <w:webHidden/>
          </w:rPr>
          <w:fldChar w:fldCharType="end"/>
        </w:r>
      </w:hyperlink>
    </w:p>
    <w:p w14:paraId="4A0606F4" w14:textId="4A45A9B6" w:rsidR="00A76B62" w:rsidRPr="00A76B62" w:rsidRDefault="00B03F19" w:rsidP="00A44F70">
      <w:pPr>
        <w:pStyle w:val="TOC2"/>
        <w:rPr>
          <w:rFonts w:eastAsiaTheme="minorEastAsia"/>
        </w:rPr>
      </w:pPr>
      <w:hyperlink w:anchor="_Toc50553248" w:history="1">
        <w:r w:rsidR="00A76B62" w:rsidRPr="00A76B62">
          <w:rPr>
            <w:rStyle w:val="Hyperlink"/>
            <w:rFonts w:eastAsia="Arial"/>
          </w:rPr>
          <w:t xml:space="preserve">3.2 </w:t>
        </w:r>
        <w:r w:rsidR="00A76B62" w:rsidRPr="00A76B62">
          <w:rPr>
            <w:rStyle w:val="Hyperlink"/>
          </w:rPr>
          <w:t>Collection and Assessment of AEs, SAEs, UPs, and Protocol Deviations</w:t>
        </w:r>
        <w:r w:rsidR="00A76B62" w:rsidRPr="00A76B62">
          <w:rPr>
            <w:webHidden/>
          </w:rPr>
          <w:tab/>
        </w:r>
        <w:r w:rsidR="00A76B62" w:rsidRPr="00A76B62">
          <w:rPr>
            <w:webHidden/>
          </w:rPr>
          <w:fldChar w:fldCharType="begin"/>
        </w:r>
        <w:r w:rsidR="00A76B62" w:rsidRPr="00A76B62">
          <w:rPr>
            <w:webHidden/>
          </w:rPr>
          <w:instrText xml:space="preserve"> PAGEREF _Toc50553248 \h </w:instrText>
        </w:r>
        <w:r w:rsidR="00A76B62" w:rsidRPr="00A76B62">
          <w:rPr>
            <w:webHidden/>
          </w:rPr>
        </w:r>
        <w:r w:rsidR="00A76B62" w:rsidRPr="00A76B62">
          <w:rPr>
            <w:webHidden/>
          </w:rPr>
          <w:fldChar w:fldCharType="separate"/>
        </w:r>
        <w:r w:rsidR="00EE1631">
          <w:rPr>
            <w:webHidden/>
          </w:rPr>
          <w:t>9</w:t>
        </w:r>
        <w:r w:rsidR="00A76B62" w:rsidRPr="00A76B62">
          <w:rPr>
            <w:webHidden/>
          </w:rPr>
          <w:fldChar w:fldCharType="end"/>
        </w:r>
      </w:hyperlink>
    </w:p>
    <w:p w14:paraId="64459CE6" w14:textId="3632A736" w:rsidR="00A76B62" w:rsidRPr="00A76B62" w:rsidRDefault="00B03F19" w:rsidP="00A44F70">
      <w:pPr>
        <w:pStyle w:val="TOC2"/>
        <w:rPr>
          <w:rFonts w:eastAsiaTheme="minorEastAsia"/>
        </w:rPr>
      </w:pPr>
      <w:hyperlink w:anchor="_Toc50553249" w:history="1">
        <w:r w:rsidR="00A76B62" w:rsidRPr="00A76B62">
          <w:rPr>
            <w:rStyle w:val="Hyperlink"/>
          </w:rPr>
          <w:t>3.3 Reporting of AEs, SAEs, UPs, Protocol Deviations, Serious or Continuing Noncompliance, and Suspension or Termination of IRB Approval</w:t>
        </w:r>
        <w:r w:rsidR="00A76B62" w:rsidRPr="00A76B62">
          <w:rPr>
            <w:webHidden/>
          </w:rPr>
          <w:tab/>
        </w:r>
        <w:r w:rsidR="00A76B62" w:rsidRPr="00A76B62">
          <w:rPr>
            <w:webHidden/>
          </w:rPr>
          <w:fldChar w:fldCharType="begin"/>
        </w:r>
        <w:r w:rsidR="00A76B62" w:rsidRPr="00A76B62">
          <w:rPr>
            <w:webHidden/>
          </w:rPr>
          <w:instrText xml:space="preserve"> PAGEREF _Toc50553249 \h </w:instrText>
        </w:r>
        <w:r w:rsidR="00A76B62" w:rsidRPr="00A76B62">
          <w:rPr>
            <w:webHidden/>
          </w:rPr>
        </w:r>
        <w:r w:rsidR="00A76B62" w:rsidRPr="00A76B62">
          <w:rPr>
            <w:webHidden/>
          </w:rPr>
          <w:fldChar w:fldCharType="separate"/>
        </w:r>
        <w:r w:rsidR="00EE1631">
          <w:rPr>
            <w:webHidden/>
          </w:rPr>
          <w:t>10</w:t>
        </w:r>
        <w:r w:rsidR="00A76B62" w:rsidRPr="00A76B62">
          <w:rPr>
            <w:webHidden/>
          </w:rPr>
          <w:fldChar w:fldCharType="end"/>
        </w:r>
      </w:hyperlink>
    </w:p>
    <w:p w14:paraId="5DA110B9" w14:textId="2601B8F8" w:rsidR="00A76B62" w:rsidRPr="00A76B62" w:rsidRDefault="00B03F19" w:rsidP="00A44F70">
      <w:pPr>
        <w:pStyle w:val="TOC3"/>
        <w:rPr>
          <w:rFonts w:eastAsiaTheme="minorEastAsia"/>
          <w:b/>
          <w:bCs/>
        </w:rPr>
      </w:pPr>
      <w:hyperlink w:anchor="_Toc50553250" w:history="1">
        <w:r w:rsidR="00A76B62" w:rsidRPr="00A76B62">
          <w:rPr>
            <w:rStyle w:val="Hyperlink"/>
          </w:rPr>
          <w:t>3.3.1 AE Reporting Procedures</w:t>
        </w:r>
        <w:r w:rsidR="00A76B62" w:rsidRPr="00A76B62">
          <w:rPr>
            <w:webHidden/>
          </w:rPr>
          <w:tab/>
        </w:r>
        <w:r w:rsidR="00A76B62" w:rsidRPr="00A76B62">
          <w:rPr>
            <w:b/>
            <w:bCs/>
            <w:webHidden/>
          </w:rPr>
          <w:fldChar w:fldCharType="begin"/>
        </w:r>
        <w:r w:rsidR="00A76B62" w:rsidRPr="00A76B62">
          <w:rPr>
            <w:webHidden/>
          </w:rPr>
          <w:instrText xml:space="preserve"> PAGEREF _Toc50553250 \h </w:instrText>
        </w:r>
        <w:r w:rsidR="00A76B62" w:rsidRPr="00A76B62">
          <w:rPr>
            <w:b/>
            <w:bCs/>
            <w:webHidden/>
          </w:rPr>
        </w:r>
        <w:r w:rsidR="00A76B62" w:rsidRPr="00A76B62">
          <w:rPr>
            <w:b/>
            <w:bCs/>
            <w:webHidden/>
          </w:rPr>
          <w:fldChar w:fldCharType="separate"/>
        </w:r>
        <w:r w:rsidR="00EE1631">
          <w:rPr>
            <w:webHidden/>
          </w:rPr>
          <w:t>10</w:t>
        </w:r>
        <w:r w:rsidR="00A76B62" w:rsidRPr="00A76B62">
          <w:rPr>
            <w:b/>
            <w:bCs/>
            <w:webHidden/>
          </w:rPr>
          <w:fldChar w:fldCharType="end"/>
        </w:r>
      </w:hyperlink>
    </w:p>
    <w:p w14:paraId="070B7C00" w14:textId="20E419A5" w:rsidR="00A76B62" w:rsidRPr="00A76B62" w:rsidRDefault="00B03F19" w:rsidP="00A44F70">
      <w:pPr>
        <w:pStyle w:val="TOC3"/>
        <w:rPr>
          <w:rFonts w:eastAsiaTheme="minorEastAsia"/>
          <w:b/>
          <w:bCs/>
        </w:rPr>
      </w:pPr>
      <w:hyperlink w:anchor="_Toc50553251" w:history="1">
        <w:r w:rsidR="00A76B62" w:rsidRPr="00A76B62">
          <w:rPr>
            <w:rStyle w:val="Hyperlink"/>
          </w:rPr>
          <w:t>3.3.2 SAE Reporting Procedures</w:t>
        </w:r>
        <w:r w:rsidR="00A76B62" w:rsidRPr="00A76B62">
          <w:rPr>
            <w:webHidden/>
          </w:rPr>
          <w:tab/>
        </w:r>
        <w:r w:rsidR="00A76B62" w:rsidRPr="00A76B62">
          <w:rPr>
            <w:b/>
            <w:bCs/>
            <w:webHidden/>
          </w:rPr>
          <w:fldChar w:fldCharType="begin"/>
        </w:r>
        <w:r w:rsidR="00A76B62" w:rsidRPr="00A76B62">
          <w:rPr>
            <w:webHidden/>
          </w:rPr>
          <w:instrText xml:space="preserve"> PAGEREF _Toc50553251 \h </w:instrText>
        </w:r>
        <w:r w:rsidR="00A76B62" w:rsidRPr="00A76B62">
          <w:rPr>
            <w:b/>
            <w:bCs/>
            <w:webHidden/>
          </w:rPr>
        </w:r>
        <w:r w:rsidR="00A76B62" w:rsidRPr="00A76B62">
          <w:rPr>
            <w:b/>
            <w:bCs/>
            <w:webHidden/>
          </w:rPr>
          <w:fldChar w:fldCharType="separate"/>
        </w:r>
        <w:r w:rsidR="00EE1631">
          <w:rPr>
            <w:webHidden/>
          </w:rPr>
          <w:t>10</w:t>
        </w:r>
        <w:r w:rsidR="00A76B62" w:rsidRPr="00A76B62">
          <w:rPr>
            <w:b/>
            <w:bCs/>
            <w:webHidden/>
          </w:rPr>
          <w:fldChar w:fldCharType="end"/>
        </w:r>
      </w:hyperlink>
    </w:p>
    <w:p w14:paraId="5EA0C9F7" w14:textId="31994478" w:rsidR="00A76B62" w:rsidRPr="00A76B62" w:rsidRDefault="00B03F19" w:rsidP="00A44F70">
      <w:pPr>
        <w:pStyle w:val="TOC3"/>
        <w:rPr>
          <w:rFonts w:eastAsiaTheme="minorEastAsia"/>
          <w:b/>
          <w:bCs/>
        </w:rPr>
      </w:pPr>
      <w:hyperlink w:anchor="_Toc50553252" w:history="1">
        <w:r w:rsidR="00A76B62" w:rsidRPr="00A76B62">
          <w:rPr>
            <w:rStyle w:val="Hyperlink"/>
          </w:rPr>
          <w:t>3.3.3 UP Reporting Procedures</w:t>
        </w:r>
        <w:r w:rsidR="00A76B62" w:rsidRPr="00A76B62">
          <w:rPr>
            <w:webHidden/>
          </w:rPr>
          <w:tab/>
        </w:r>
        <w:r w:rsidR="00A76B62" w:rsidRPr="00A76B62">
          <w:rPr>
            <w:b/>
            <w:bCs/>
            <w:webHidden/>
          </w:rPr>
          <w:fldChar w:fldCharType="begin"/>
        </w:r>
        <w:r w:rsidR="00A76B62" w:rsidRPr="00A76B62">
          <w:rPr>
            <w:webHidden/>
          </w:rPr>
          <w:instrText xml:space="preserve"> PAGEREF _Toc50553252 \h </w:instrText>
        </w:r>
        <w:r w:rsidR="00A76B62" w:rsidRPr="00A76B62">
          <w:rPr>
            <w:b/>
            <w:bCs/>
            <w:webHidden/>
          </w:rPr>
        </w:r>
        <w:r w:rsidR="00A76B62" w:rsidRPr="00A76B62">
          <w:rPr>
            <w:b/>
            <w:bCs/>
            <w:webHidden/>
          </w:rPr>
          <w:fldChar w:fldCharType="separate"/>
        </w:r>
        <w:r w:rsidR="00EE1631">
          <w:rPr>
            <w:webHidden/>
          </w:rPr>
          <w:t>11</w:t>
        </w:r>
        <w:r w:rsidR="00A76B62" w:rsidRPr="00A76B62">
          <w:rPr>
            <w:b/>
            <w:bCs/>
            <w:webHidden/>
          </w:rPr>
          <w:fldChar w:fldCharType="end"/>
        </w:r>
      </w:hyperlink>
    </w:p>
    <w:p w14:paraId="5970EAE3" w14:textId="6D001FDE" w:rsidR="00A76B62" w:rsidRPr="00A76B62" w:rsidRDefault="00B03F19" w:rsidP="00A44F70">
      <w:pPr>
        <w:pStyle w:val="TOC3"/>
        <w:rPr>
          <w:rFonts w:eastAsiaTheme="minorEastAsia"/>
          <w:b/>
          <w:bCs/>
        </w:rPr>
      </w:pPr>
      <w:hyperlink w:anchor="_Toc50553253" w:history="1">
        <w:r w:rsidR="00A76B62" w:rsidRPr="00A76B62">
          <w:rPr>
            <w:rStyle w:val="Hyperlink"/>
          </w:rPr>
          <w:t>3.3.4 Protocol Deviation Reporting Procedures</w:t>
        </w:r>
        <w:r w:rsidR="00A76B62" w:rsidRPr="00A76B62">
          <w:rPr>
            <w:webHidden/>
          </w:rPr>
          <w:tab/>
        </w:r>
        <w:r w:rsidR="00A76B62" w:rsidRPr="00A76B62">
          <w:rPr>
            <w:b/>
            <w:bCs/>
            <w:webHidden/>
          </w:rPr>
          <w:fldChar w:fldCharType="begin"/>
        </w:r>
        <w:r w:rsidR="00A76B62" w:rsidRPr="00A76B62">
          <w:rPr>
            <w:webHidden/>
          </w:rPr>
          <w:instrText xml:space="preserve"> PAGEREF _Toc50553253 \h </w:instrText>
        </w:r>
        <w:r w:rsidR="00A76B62" w:rsidRPr="00A76B62">
          <w:rPr>
            <w:b/>
            <w:bCs/>
            <w:webHidden/>
          </w:rPr>
        </w:r>
        <w:r w:rsidR="00A76B62" w:rsidRPr="00A76B62">
          <w:rPr>
            <w:b/>
            <w:bCs/>
            <w:webHidden/>
          </w:rPr>
          <w:fldChar w:fldCharType="separate"/>
        </w:r>
        <w:r w:rsidR="00EE1631">
          <w:rPr>
            <w:webHidden/>
          </w:rPr>
          <w:t>12</w:t>
        </w:r>
        <w:r w:rsidR="00A76B62" w:rsidRPr="00A76B62">
          <w:rPr>
            <w:b/>
            <w:bCs/>
            <w:webHidden/>
          </w:rPr>
          <w:fldChar w:fldCharType="end"/>
        </w:r>
      </w:hyperlink>
    </w:p>
    <w:p w14:paraId="5BEFDE5B" w14:textId="508262F4" w:rsidR="00A76B62" w:rsidRPr="00A76B62" w:rsidRDefault="00B03F19" w:rsidP="00A44F70">
      <w:pPr>
        <w:pStyle w:val="TOC3"/>
        <w:rPr>
          <w:rFonts w:eastAsiaTheme="minorEastAsia"/>
          <w:b/>
          <w:bCs/>
        </w:rPr>
      </w:pPr>
      <w:hyperlink w:anchor="_Toc50553254" w:history="1">
        <w:r w:rsidR="00A76B62" w:rsidRPr="00A76B62">
          <w:rPr>
            <w:rStyle w:val="Hyperlink"/>
          </w:rPr>
          <w:t>3.3.5 Serious or Continuing Noncompliance</w:t>
        </w:r>
        <w:r w:rsidR="00A76B62" w:rsidRPr="00A76B62">
          <w:rPr>
            <w:webHidden/>
          </w:rPr>
          <w:tab/>
        </w:r>
        <w:r w:rsidR="00A76B62" w:rsidRPr="00A76B62">
          <w:rPr>
            <w:b/>
            <w:bCs/>
            <w:webHidden/>
          </w:rPr>
          <w:fldChar w:fldCharType="begin"/>
        </w:r>
        <w:r w:rsidR="00A76B62" w:rsidRPr="00A76B62">
          <w:rPr>
            <w:webHidden/>
          </w:rPr>
          <w:instrText xml:space="preserve"> PAGEREF _Toc50553254 \h </w:instrText>
        </w:r>
        <w:r w:rsidR="00A76B62" w:rsidRPr="00A76B62">
          <w:rPr>
            <w:b/>
            <w:bCs/>
            <w:webHidden/>
          </w:rPr>
        </w:r>
        <w:r w:rsidR="00A76B62" w:rsidRPr="00A76B62">
          <w:rPr>
            <w:b/>
            <w:bCs/>
            <w:webHidden/>
          </w:rPr>
          <w:fldChar w:fldCharType="separate"/>
        </w:r>
        <w:r w:rsidR="00EE1631">
          <w:rPr>
            <w:webHidden/>
          </w:rPr>
          <w:t>12</w:t>
        </w:r>
        <w:r w:rsidR="00A76B62" w:rsidRPr="00A76B62">
          <w:rPr>
            <w:b/>
            <w:bCs/>
            <w:webHidden/>
          </w:rPr>
          <w:fldChar w:fldCharType="end"/>
        </w:r>
      </w:hyperlink>
    </w:p>
    <w:p w14:paraId="1C32255F" w14:textId="745DA649" w:rsidR="00A76B62" w:rsidRPr="00A76B62" w:rsidRDefault="00B03F19" w:rsidP="00A44F70">
      <w:pPr>
        <w:pStyle w:val="TOC3"/>
        <w:rPr>
          <w:rFonts w:eastAsiaTheme="minorEastAsia"/>
          <w:b/>
          <w:bCs/>
        </w:rPr>
      </w:pPr>
      <w:hyperlink w:anchor="_Toc50553255" w:history="1">
        <w:r w:rsidR="00A76B62" w:rsidRPr="00A76B62">
          <w:rPr>
            <w:rStyle w:val="Hyperlink"/>
          </w:rPr>
          <w:t>3.3.6 Suspension or Termination of IRB Approval</w:t>
        </w:r>
        <w:r w:rsidR="00A76B62" w:rsidRPr="00A76B62">
          <w:rPr>
            <w:webHidden/>
          </w:rPr>
          <w:tab/>
        </w:r>
        <w:r w:rsidR="00A76B62" w:rsidRPr="00A76B62">
          <w:rPr>
            <w:b/>
            <w:bCs/>
            <w:webHidden/>
          </w:rPr>
          <w:fldChar w:fldCharType="begin"/>
        </w:r>
        <w:r w:rsidR="00A76B62" w:rsidRPr="00A76B62">
          <w:rPr>
            <w:webHidden/>
          </w:rPr>
          <w:instrText xml:space="preserve"> PAGEREF _Toc50553255 \h </w:instrText>
        </w:r>
        <w:r w:rsidR="00A76B62" w:rsidRPr="00A76B62">
          <w:rPr>
            <w:b/>
            <w:bCs/>
            <w:webHidden/>
          </w:rPr>
        </w:r>
        <w:r w:rsidR="00A76B62" w:rsidRPr="00A76B62">
          <w:rPr>
            <w:b/>
            <w:bCs/>
            <w:webHidden/>
          </w:rPr>
          <w:fldChar w:fldCharType="separate"/>
        </w:r>
        <w:r w:rsidR="00EE1631">
          <w:rPr>
            <w:webHidden/>
          </w:rPr>
          <w:t>13</w:t>
        </w:r>
        <w:r w:rsidR="00A76B62" w:rsidRPr="00A76B62">
          <w:rPr>
            <w:b/>
            <w:bCs/>
            <w:webHidden/>
          </w:rPr>
          <w:fldChar w:fldCharType="end"/>
        </w:r>
      </w:hyperlink>
    </w:p>
    <w:p w14:paraId="4AD07EF5" w14:textId="3155A90A" w:rsidR="00A76B62" w:rsidRPr="00A76B62" w:rsidRDefault="00B03F19" w:rsidP="00A76B62">
      <w:pPr>
        <w:pStyle w:val="TOC1"/>
        <w:rPr>
          <w:rFonts w:eastAsiaTheme="minorEastAsia"/>
        </w:rPr>
      </w:pPr>
      <w:hyperlink w:anchor="_Toc50553256" w:history="1">
        <w:r w:rsidR="00A76B62" w:rsidRPr="00A76B62">
          <w:rPr>
            <w:rStyle w:val="Hyperlink"/>
            <w:caps/>
          </w:rPr>
          <w:t>4.0 INTERIM Analysis &amp; stopping rules</w:t>
        </w:r>
        <w:r w:rsidR="00A76B62" w:rsidRPr="00A76B62">
          <w:rPr>
            <w:webHidden/>
          </w:rPr>
          <w:tab/>
        </w:r>
        <w:r w:rsidR="00A76B62" w:rsidRPr="00A76B62">
          <w:rPr>
            <w:webHidden/>
          </w:rPr>
          <w:fldChar w:fldCharType="begin"/>
        </w:r>
        <w:r w:rsidR="00A76B62" w:rsidRPr="00A76B62">
          <w:rPr>
            <w:webHidden/>
          </w:rPr>
          <w:instrText xml:space="preserve"> PAGEREF _Toc50553256 \h </w:instrText>
        </w:r>
        <w:r w:rsidR="00A76B62" w:rsidRPr="00A76B62">
          <w:rPr>
            <w:webHidden/>
          </w:rPr>
        </w:r>
        <w:r w:rsidR="00A76B62" w:rsidRPr="00A76B62">
          <w:rPr>
            <w:webHidden/>
          </w:rPr>
          <w:fldChar w:fldCharType="separate"/>
        </w:r>
        <w:r w:rsidR="00EE1631">
          <w:rPr>
            <w:webHidden/>
          </w:rPr>
          <w:t>13</w:t>
        </w:r>
        <w:r w:rsidR="00A76B62" w:rsidRPr="00A76B62">
          <w:rPr>
            <w:webHidden/>
          </w:rPr>
          <w:fldChar w:fldCharType="end"/>
        </w:r>
      </w:hyperlink>
    </w:p>
    <w:p w14:paraId="3BA367DA" w14:textId="102C42B7" w:rsidR="00A76B62" w:rsidRPr="00A76B62" w:rsidRDefault="00B03F19" w:rsidP="00A76B62">
      <w:pPr>
        <w:pStyle w:val="TOC1"/>
        <w:rPr>
          <w:rFonts w:eastAsiaTheme="minorEastAsia"/>
        </w:rPr>
      </w:pPr>
      <w:hyperlink w:anchor="_Toc50553257" w:history="1">
        <w:r w:rsidR="00A76B62" w:rsidRPr="00A76B62">
          <w:rPr>
            <w:rStyle w:val="Hyperlink"/>
            <w:caps/>
          </w:rPr>
          <w:t>5.0 Data and Safety monitoring</w:t>
        </w:r>
        <w:r w:rsidR="00A76B62" w:rsidRPr="00A76B62">
          <w:rPr>
            <w:webHidden/>
          </w:rPr>
          <w:tab/>
        </w:r>
        <w:r w:rsidR="00A76B62" w:rsidRPr="00A76B62">
          <w:rPr>
            <w:webHidden/>
          </w:rPr>
          <w:fldChar w:fldCharType="begin"/>
        </w:r>
        <w:r w:rsidR="00A76B62" w:rsidRPr="00A76B62">
          <w:rPr>
            <w:webHidden/>
          </w:rPr>
          <w:instrText xml:space="preserve"> PAGEREF _Toc50553257 \h </w:instrText>
        </w:r>
        <w:r w:rsidR="00A76B62" w:rsidRPr="00A76B62">
          <w:rPr>
            <w:webHidden/>
          </w:rPr>
        </w:r>
        <w:r w:rsidR="00A76B62" w:rsidRPr="00A76B62">
          <w:rPr>
            <w:webHidden/>
          </w:rPr>
          <w:fldChar w:fldCharType="separate"/>
        </w:r>
        <w:r w:rsidR="00EE1631">
          <w:rPr>
            <w:webHidden/>
          </w:rPr>
          <w:t>14</w:t>
        </w:r>
        <w:r w:rsidR="00A76B62" w:rsidRPr="00A76B62">
          <w:rPr>
            <w:webHidden/>
          </w:rPr>
          <w:fldChar w:fldCharType="end"/>
        </w:r>
      </w:hyperlink>
    </w:p>
    <w:p w14:paraId="06D3F0CA" w14:textId="0D302D6C" w:rsidR="00A76B62" w:rsidRPr="00A76B62" w:rsidRDefault="00B03F19" w:rsidP="00A44F70">
      <w:pPr>
        <w:pStyle w:val="TOC2"/>
        <w:rPr>
          <w:rFonts w:eastAsiaTheme="minorEastAsia"/>
        </w:rPr>
      </w:pPr>
      <w:hyperlink w:anchor="_Toc50553258" w:history="1">
        <w:r w:rsidR="00A76B62" w:rsidRPr="00A76B62">
          <w:rPr>
            <w:rStyle w:val="Hyperlink"/>
          </w:rPr>
          <w:t>5.1 Frequency of Data and Safety Monitoring</w:t>
        </w:r>
        <w:r w:rsidR="00A76B62" w:rsidRPr="00A76B62">
          <w:rPr>
            <w:webHidden/>
          </w:rPr>
          <w:tab/>
        </w:r>
        <w:r w:rsidR="00A76B62" w:rsidRPr="00A76B62">
          <w:rPr>
            <w:webHidden/>
          </w:rPr>
          <w:fldChar w:fldCharType="begin"/>
        </w:r>
        <w:r w:rsidR="00A76B62" w:rsidRPr="00A76B62">
          <w:rPr>
            <w:webHidden/>
          </w:rPr>
          <w:instrText xml:space="preserve"> PAGEREF _Toc50553258 \h </w:instrText>
        </w:r>
        <w:r w:rsidR="00A76B62" w:rsidRPr="00A76B62">
          <w:rPr>
            <w:webHidden/>
          </w:rPr>
        </w:r>
        <w:r w:rsidR="00A76B62" w:rsidRPr="00A76B62">
          <w:rPr>
            <w:webHidden/>
          </w:rPr>
          <w:fldChar w:fldCharType="separate"/>
        </w:r>
        <w:r w:rsidR="00EE1631">
          <w:rPr>
            <w:webHidden/>
          </w:rPr>
          <w:t>14</w:t>
        </w:r>
        <w:r w:rsidR="00A76B62" w:rsidRPr="00A76B62">
          <w:rPr>
            <w:webHidden/>
          </w:rPr>
          <w:fldChar w:fldCharType="end"/>
        </w:r>
      </w:hyperlink>
    </w:p>
    <w:p w14:paraId="0BC919A7" w14:textId="06AFF699" w:rsidR="00A76B62" w:rsidRPr="00A76B62" w:rsidRDefault="00B03F19" w:rsidP="00A44F70">
      <w:pPr>
        <w:pStyle w:val="TOC2"/>
        <w:rPr>
          <w:rFonts w:eastAsiaTheme="minorEastAsia"/>
        </w:rPr>
      </w:pPr>
      <w:hyperlink w:anchor="_Toc50553259" w:history="1">
        <w:r w:rsidR="00A76B62" w:rsidRPr="00A76B62">
          <w:rPr>
            <w:rStyle w:val="Hyperlink"/>
          </w:rPr>
          <w:t>5.2 Content of Data and Safety Monitoring Report</w:t>
        </w:r>
        <w:r w:rsidR="00A76B62" w:rsidRPr="00A76B62">
          <w:rPr>
            <w:webHidden/>
          </w:rPr>
          <w:tab/>
        </w:r>
        <w:r w:rsidR="00A76B62" w:rsidRPr="00A76B62">
          <w:rPr>
            <w:webHidden/>
          </w:rPr>
          <w:fldChar w:fldCharType="begin"/>
        </w:r>
        <w:r w:rsidR="00A76B62" w:rsidRPr="00A76B62">
          <w:rPr>
            <w:webHidden/>
          </w:rPr>
          <w:instrText xml:space="preserve"> PAGEREF _Toc50553259 \h </w:instrText>
        </w:r>
        <w:r w:rsidR="00A76B62" w:rsidRPr="00A76B62">
          <w:rPr>
            <w:webHidden/>
          </w:rPr>
        </w:r>
        <w:r w:rsidR="00A76B62" w:rsidRPr="00A76B62">
          <w:rPr>
            <w:webHidden/>
          </w:rPr>
          <w:fldChar w:fldCharType="separate"/>
        </w:r>
        <w:r w:rsidR="00EE1631">
          <w:rPr>
            <w:webHidden/>
          </w:rPr>
          <w:t>15</w:t>
        </w:r>
        <w:r w:rsidR="00A76B62" w:rsidRPr="00A76B62">
          <w:rPr>
            <w:webHidden/>
          </w:rPr>
          <w:fldChar w:fldCharType="end"/>
        </w:r>
      </w:hyperlink>
    </w:p>
    <w:p w14:paraId="3CE9CBD9" w14:textId="58D006AC" w:rsidR="00A76B62" w:rsidRPr="00A76B62" w:rsidRDefault="00B03F19" w:rsidP="00A44F70">
      <w:pPr>
        <w:pStyle w:val="TOC2"/>
        <w:rPr>
          <w:rFonts w:eastAsiaTheme="minorEastAsia"/>
        </w:rPr>
      </w:pPr>
      <w:hyperlink w:anchor="_Toc50553260" w:history="1">
        <w:r w:rsidR="00A76B62" w:rsidRPr="00A76B62">
          <w:rPr>
            <w:rStyle w:val="Hyperlink"/>
          </w:rPr>
          <w:t>5.3 Monitoring Body Membership and Affiliation</w:t>
        </w:r>
        <w:r w:rsidR="00A76B62" w:rsidRPr="00A76B62">
          <w:rPr>
            <w:webHidden/>
          </w:rPr>
          <w:tab/>
        </w:r>
        <w:r w:rsidR="00A76B62" w:rsidRPr="00A76B62">
          <w:rPr>
            <w:webHidden/>
          </w:rPr>
          <w:fldChar w:fldCharType="begin"/>
        </w:r>
        <w:r w:rsidR="00A76B62" w:rsidRPr="00A76B62">
          <w:rPr>
            <w:webHidden/>
          </w:rPr>
          <w:instrText xml:space="preserve"> PAGEREF _Toc50553260 \h </w:instrText>
        </w:r>
        <w:r w:rsidR="00A76B62" w:rsidRPr="00A76B62">
          <w:rPr>
            <w:webHidden/>
          </w:rPr>
        </w:r>
        <w:r w:rsidR="00A76B62" w:rsidRPr="00A76B62">
          <w:rPr>
            <w:webHidden/>
          </w:rPr>
          <w:fldChar w:fldCharType="separate"/>
        </w:r>
        <w:r w:rsidR="00EE1631">
          <w:rPr>
            <w:webHidden/>
          </w:rPr>
          <w:t>16</w:t>
        </w:r>
        <w:r w:rsidR="00A76B62" w:rsidRPr="00A76B62">
          <w:rPr>
            <w:webHidden/>
          </w:rPr>
          <w:fldChar w:fldCharType="end"/>
        </w:r>
      </w:hyperlink>
    </w:p>
    <w:p w14:paraId="703E15CD" w14:textId="10B775DF" w:rsidR="00A76B62" w:rsidRPr="00A76B62" w:rsidRDefault="00B03F19" w:rsidP="00A44F70">
      <w:pPr>
        <w:pStyle w:val="TOC2"/>
        <w:rPr>
          <w:rFonts w:eastAsiaTheme="minorEastAsia"/>
        </w:rPr>
      </w:pPr>
      <w:hyperlink w:anchor="_Toc50553261" w:history="1">
        <w:r w:rsidR="00A76B62" w:rsidRPr="00A76B62">
          <w:rPr>
            <w:rStyle w:val="Hyperlink"/>
          </w:rPr>
          <w:t>5.4 Conflict of Interest for Monitoring Bodies</w:t>
        </w:r>
        <w:r w:rsidR="00A76B62" w:rsidRPr="00A76B62">
          <w:rPr>
            <w:webHidden/>
          </w:rPr>
          <w:tab/>
        </w:r>
        <w:r w:rsidR="00A76B62" w:rsidRPr="00A76B62">
          <w:rPr>
            <w:webHidden/>
          </w:rPr>
          <w:fldChar w:fldCharType="begin"/>
        </w:r>
        <w:r w:rsidR="00A76B62" w:rsidRPr="00A76B62">
          <w:rPr>
            <w:webHidden/>
          </w:rPr>
          <w:instrText xml:space="preserve"> PAGEREF _Toc50553261 \h </w:instrText>
        </w:r>
        <w:r w:rsidR="00A76B62" w:rsidRPr="00A76B62">
          <w:rPr>
            <w:webHidden/>
          </w:rPr>
        </w:r>
        <w:r w:rsidR="00A76B62" w:rsidRPr="00A76B62">
          <w:rPr>
            <w:webHidden/>
          </w:rPr>
          <w:fldChar w:fldCharType="separate"/>
        </w:r>
        <w:r w:rsidR="00EE1631">
          <w:rPr>
            <w:webHidden/>
          </w:rPr>
          <w:t>16</w:t>
        </w:r>
        <w:r w:rsidR="00A76B62" w:rsidRPr="00A76B62">
          <w:rPr>
            <w:webHidden/>
          </w:rPr>
          <w:fldChar w:fldCharType="end"/>
        </w:r>
      </w:hyperlink>
    </w:p>
    <w:p w14:paraId="18D74EBD" w14:textId="62000438" w:rsidR="00A76B62" w:rsidRPr="00A76B62" w:rsidRDefault="00B03F19" w:rsidP="00A44F70">
      <w:pPr>
        <w:pStyle w:val="TOC2"/>
        <w:rPr>
          <w:rFonts w:eastAsiaTheme="minorEastAsia"/>
        </w:rPr>
      </w:pPr>
      <w:hyperlink w:anchor="_Toc50553262" w:history="1">
        <w:r w:rsidR="00A76B62" w:rsidRPr="00A76B62">
          <w:rPr>
            <w:rStyle w:val="Hyperlink"/>
          </w:rPr>
          <w:t>5.5 Protection of Confidentiality</w:t>
        </w:r>
        <w:r w:rsidR="00A76B62" w:rsidRPr="00A76B62">
          <w:rPr>
            <w:webHidden/>
          </w:rPr>
          <w:tab/>
        </w:r>
        <w:r w:rsidR="00A76B62" w:rsidRPr="00A76B62">
          <w:rPr>
            <w:webHidden/>
          </w:rPr>
          <w:fldChar w:fldCharType="begin"/>
        </w:r>
        <w:r w:rsidR="00A76B62" w:rsidRPr="00A76B62">
          <w:rPr>
            <w:webHidden/>
          </w:rPr>
          <w:instrText xml:space="preserve"> PAGEREF _Toc50553262 \h </w:instrText>
        </w:r>
        <w:r w:rsidR="00A76B62" w:rsidRPr="00A76B62">
          <w:rPr>
            <w:webHidden/>
          </w:rPr>
        </w:r>
        <w:r w:rsidR="00A76B62" w:rsidRPr="00A76B62">
          <w:rPr>
            <w:webHidden/>
          </w:rPr>
          <w:fldChar w:fldCharType="separate"/>
        </w:r>
        <w:r w:rsidR="00EE1631">
          <w:rPr>
            <w:webHidden/>
          </w:rPr>
          <w:t>17</w:t>
        </w:r>
        <w:r w:rsidR="00A76B62" w:rsidRPr="00A76B62">
          <w:rPr>
            <w:webHidden/>
          </w:rPr>
          <w:fldChar w:fldCharType="end"/>
        </w:r>
      </w:hyperlink>
    </w:p>
    <w:p w14:paraId="16F4667B" w14:textId="1C120D21" w:rsidR="00A76B62" w:rsidRPr="00A76B62" w:rsidRDefault="00B03F19" w:rsidP="00A44F70">
      <w:pPr>
        <w:pStyle w:val="TOC2"/>
        <w:rPr>
          <w:rFonts w:eastAsiaTheme="minorEastAsia"/>
        </w:rPr>
      </w:pPr>
      <w:hyperlink w:anchor="_Toc50553263" w:history="1">
        <w:r w:rsidR="00A76B62" w:rsidRPr="00A76B62">
          <w:rPr>
            <w:rStyle w:val="Hyperlink"/>
          </w:rPr>
          <w:t>5.6 Monitoring Body Responsibilities</w:t>
        </w:r>
        <w:r w:rsidR="00A76B62" w:rsidRPr="00A76B62">
          <w:rPr>
            <w:webHidden/>
          </w:rPr>
          <w:tab/>
        </w:r>
        <w:r w:rsidR="00A76B62" w:rsidRPr="00A76B62">
          <w:rPr>
            <w:webHidden/>
          </w:rPr>
          <w:fldChar w:fldCharType="begin"/>
        </w:r>
        <w:r w:rsidR="00A76B62" w:rsidRPr="00A76B62">
          <w:rPr>
            <w:webHidden/>
          </w:rPr>
          <w:instrText xml:space="preserve"> PAGEREF _Toc50553263 \h </w:instrText>
        </w:r>
        <w:r w:rsidR="00A76B62" w:rsidRPr="00A76B62">
          <w:rPr>
            <w:webHidden/>
          </w:rPr>
        </w:r>
        <w:r w:rsidR="00A76B62" w:rsidRPr="00A76B62">
          <w:rPr>
            <w:webHidden/>
          </w:rPr>
          <w:fldChar w:fldCharType="separate"/>
        </w:r>
        <w:r w:rsidR="00EE1631">
          <w:rPr>
            <w:webHidden/>
          </w:rPr>
          <w:t>17</w:t>
        </w:r>
        <w:r w:rsidR="00A76B62" w:rsidRPr="00A76B62">
          <w:rPr>
            <w:webHidden/>
          </w:rPr>
          <w:fldChar w:fldCharType="end"/>
        </w:r>
      </w:hyperlink>
    </w:p>
    <w:p w14:paraId="390C2A8A" w14:textId="64FB2E11" w:rsidR="00A76B62" w:rsidRPr="00A76B62" w:rsidRDefault="00B03F19" w:rsidP="00A76B62">
      <w:pPr>
        <w:pStyle w:val="TOC1"/>
        <w:rPr>
          <w:rFonts w:eastAsiaTheme="minorEastAsia"/>
        </w:rPr>
      </w:pPr>
      <w:hyperlink w:anchor="_Toc50553264" w:history="1">
        <w:r w:rsidR="00A76B62" w:rsidRPr="00A76B62">
          <w:rPr>
            <w:rStyle w:val="Hyperlink"/>
          </w:rPr>
          <w:t>6.0 DATA MANAGEMENT, QUALITY CONTROL, AND QUALITY ASSURANCE</w:t>
        </w:r>
        <w:r w:rsidR="00A76B62" w:rsidRPr="00A76B62">
          <w:rPr>
            <w:webHidden/>
          </w:rPr>
          <w:tab/>
        </w:r>
        <w:r w:rsidR="00A76B62" w:rsidRPr="00A76B62">
          <w:rPr>
            <w:webHidden/>
          </w:rPr>
          <w:fldChar w:fldCharType="begin"/>
        </w:r>
        <w:r w:rsidR="00A76B62" w:rsidRPr="00A76B62">
          <w:rPr>
            <w:webHidden/>
          </w:rPr>
          <w:instrText xml:space="preserve"> PAGEREF _Toc50553264 \h </w:instrText>
        </w:r>
        <w:r w:rsidR="00A76B62" w:rsidRPr="00A76B62">
          <w:rPr>
            <w:webHidden/>
          </w:rPr>
        </w:r>
        <w:r w:rsidR="00A76B62" w:rsidRPr="00A76B62">
          <w:rPr>
            <w:webHidden/>
          </w:rPr>
          <w:fldChar w:fldCharType="separate"/>
        </w:r>
        <w:r w:rsidR="00EE1631">
          <w:rPr>
            <w:webHidden/>
          </w:rPr>
          <w:t>18</w:t>
        </w:r>
        <w:r w:rsidR="00A76B62" w:rsidRPr="00A76B62">
          <w:rPr>
            <w:webHidden/>
          </w:rPr>
          <w:fldChar w:fldCharType="end"/>
        </w:r>
      </w:hyperlink>
    </w:p>
    <w:p w14:paraId="575F3572" w14:textId="7BDDB6BF" w:rsidR="00E565AF" w:rsidRPr="00D711C0" w:rsidRDefault="00504227" w:rsidP="00D711C0">
      <w:pPr>
        <w:pStyle w:val="Heading1"/>
      </w:pPr>
      <w:r w:rsidRPr="00A76B62">
        <w:rPr>
          <w:sz w:val="22"/>
          <w:szCs w:val="22"/>
          <w:u w:val="single"/>
        </w:rPr>
        <w:lastRenderedPageBreak/>
        <w:fldChar w:fldCharType="end"/>
      </w:r>
      <w:bookmarkStart w:id="0" w:name="_Toc50553233"/>
      <w:bookmarkStart w:id="1" w:name="_Toc193777352"/>
      <w:r w:rsidR="00832966" w:rsidRPr="00D711C0">
        <w:t xml:space="preserve">1.0 </w:t>
      </w:r>
      <w:r w:rsidR="00E565AF" w:rsidRPr="00D711C0">
        <w:t>STUDY OVERVIEW</w:t>
      </w:r>
      <w:bookmarkEnd w:id="0"/>
    </w:p>
    <w:p w14:paraId="6554EE2C" w14:textId="132C8AB3" w:rsidR="0093074F" w:rsidRPr="00A71375" w:rsidRDefault="25AF9525" w:rsidP="00A44F70">
      <w:pPr>
        <w:pStyle w:val="Heading2"/>
      </w:pPr>
      <w:bookmarkStart w:id="2" w:name="_Toc50553234"/>
      <w:r w:rsidRPr="00A71375">
        <w:t xml:space="preserve">1.1 Study </w:t>
      </w:r>
      <w:r w:rsidR="0033730B" w:rsidRPr="00A71375">
        <w:t>D</w:t>
      </w:r>
      <w:r w:rsidRPr="00A71375">
        <w:t>escription</w:t>
      </w:r>
      <w:bookmarkEnd w:id="2"/>
    </w:p>
    <w:p w14:paraId="48C9A085" w14:textId="751F1AC4" w:rsidR="00991405" w:rsidRPr="00A71375" w:rsidRDefault="007C7273" w:rsidP="2BD67300">
      <w:pPr>
        <w:rPr>
          <w:rFonts w:eastAsia="Arial"/>
          <w:i/>
          <w:iCs/>
          <w:color w:val="4472C4" w:themeColor="accent1"/>
          <w:sz w:val="24"/>
          <w:szCs w:val="24"/>
        </w:rPr>
      </w:pPr>
      <w:r w:rsidRPr="00A71375">
        <w:rPr>
          <w:rFonts w:eastAsia="Arial"/>
          <w:i/>
          <w:iCs/>
          <w:color w:val="4472C4" w:themeColor="accent1"/>
          <w:sz w:val="24"/>
          <w:szCs w:val="24"/>
        </w:rPr>
        <w:t>{</w:t>
      </w:r>
      <w:r w:rsidR="25AF9525" w:rsidRPr="00A71375">
        <w:rPr>
          <w:rFonts w:eastAsia="Arial"/>
          <w:i/>
          <w:iCs/>
          <w:color w:val="4472C4" w:themeColor="accent1"/>
          <w:sz w:val="24"/>
          <w:szCs w:val="24"/>
        </w:rPr>
        <w:t xml:space="preserve">This section outlines the overall goal of this project. </w:t>
      </w:r>
      <w:r w:rsidR="00652D85" w:rsidRPr="00A71375">
        <w:rPr>
          <w:rFonts w:eastAsia="Arial"/>
          <w:i/>
          <w:iCs/>
          <w:color w:val="4472C4" w:themeColor="accent1"/>
          <w:sz w:val="24"/>
          <w:szCs w:val="24"/>
        </w:rPr>
        <w:t>It also d</w:t>
      </w:r>
      <w:r w:rsidR="25AF9525" w:rsidRPr="00A71375">
        <w:rPr>
          <w:rFonts w:eastAsia="Arial"/>
          <w:i/>
          <w:iCs/>
          <w:color w:val="4472C4" w:themeColor="accent1"/>
          <w:sz w:val="24"/>
          <w:szCs w:val="24"/>
        </w:rPr>
        <w:t>escribe</w:t>
      </w:r>
      <w:r w:rsidR="00652D85" w:rsidRPr="00A71375">
        <w:rPr>
          <w:rFonts w:eastAsia="Arial"/>
          <w:i/>
          <w:iCs/>
          <w:color w:val="4472C4" w:themeColor="accent1"/>
          <w:sz w:val="24"/>
          <w:szCs w:val="24"/>
        </w:rPr>
        <w:t>s</w:t>
      </w:r>
      <w:r w:rsidR="25AF9525" w:rsidRPr="00A71375">
        <w:rPr>
          <w:rFonts w:eastAsia="Arial"/>
          <w:i/>
          <w:iCs/>
          <w:color w:val="4472C4" w:themeColor="accent1"/>
          <w:sz w:val="24"/>
          <w:szCs w:val="24"/>
        </w:rPr>
        <w:t xml:space="preserve"> the study design, </w:t>
      </w:r>
      <w:r w:rsidR="0093074F" w:rsidRPr="00A71375">
        <w:rPr>
          <w:rFonts w:eastAsia="Arial"/>
          <w:i/>
          <w:iCs/>
          <w:color w:val="4472C4" w:themeColor="accent1"/>
          <w:sz w:val="24"/>
          <w:szCs w:val="24"/>
        </w:rPr>
        <w:t>p</w:t>
      </w:r>
      <w:r w:rsidR="25AF9525" w:rsidRPr="00A71375">
        <w:rPr>
          <w:rFonts w:eastAsia="Arial"/>
          <w:i/>
          <w:iCs/>
          <w:color w:val="4472C4" w:themeColor="accent1"/>
          <w:sz w:val="24"/>
          <w:szCs w:val="24"/>
        </w:rPr>
        <w:t xml:space="preserve">rimary and secondary outcome measures/endpoints, </w:t>
      </w:r>
      <w:r w:rsidR="0093074F" w:rsidRPr="00A71375">
        <w:rPr>
          <w:rFonts w:eastAsia="Arial"/>
          <w:i/>
          <w:iCs/>
          <w:color w:val="4472C4" w:themeColor="accent1"/>
          <w:sz w:val="24"/>
          <w:szCs w:val="24"/>
        </w:rPr>
        <w:t>s</w:t>
      </w:r>
      <w:r w:rsidR="25AF9525" w:rsidRPr="00A71375">
        <w:rPr>
          <w:rFonts w:eastAsia="Arial"/>
          <w:i/>
          <w:iCs/>
          <w:color w:val="4472C4" w:themeColor="accent1"/>
          <w:sz w:val="24"/>
          <w:szCs w:val="24"/>
        </w:rPr>
        <w:t xml:space="preserve">ample size/power calculation and target population, </w:t>
      </w:r>
      <w:r w:rsidR="0093074F" w:rsidRPr="00A71375">
        <w:rPr>
          <w:rFonts w:eastAsia="Arial"/>
          <w:i/>
          <w:iCs/>
          <w:color w:val="4472C4" w:themeColor="accent1"/>
          <w:sz w:val="24"/>
          <w:szCs w:val="24"/>
        </w:rPr>
        <w:t>i</w:t>
      </w:r>
      <w:r w:rsidR="25AF9525" w:rsidRPr="00A71375">
        <w:rPr>
          <w:rFonts w:eastAsia="Arial"/>
          <w:i/>
          <w:iCs/>
          <w:color w:val="4472C4" w:themeColor="accent1"/>
          <w:sz w:val="24"/>
          <w:szCs w:val="24"/>
        </w:rPr>
        <w:t>nclusion and exclusion criteria</w:t>
      </w:r>
      <w:r w:rsidR="0093074F" w:rsidRPr="00A71375">
        <w:rPr>
          <w:rFonts w:eastAsia="Arial"/>
          <w:i/>
          <w:iCs/>
          <w:color w:val="4472C4" w:themeColor="accent1"/>
          <w:sz w:val="24"/>
          <w:szCs w:val="24"/>
        </w:rPr>
        <w:t>.</w:t>
      </w:r>
      <w:r w:rsidRPr="00A71375">
        <w:rPr>
          <w:rFonts w:eastAsia="Arial"/>
          <w:i/>
          <w:iCs/>
          <w:color w:val="4472C4" w:themeColor="accent1"/>
          <w:sz w:val="24"/>
          <w:szCs w:val="24"/>
        </w:rPr>
        <w:t>}</w:t>
      </w:r>
    </w:p>
    <w:p w14:paraId="4FFF1780" w14:textId="0959C1BD" w:rsidR="00692D18" w:rsidRPr="00A71375" w:rsidRDefault="25AF9525" w:rsidP="00A44F70">
      <w:pPr>
        <w:pStyle w:val="Heading2"/>
        <w:rPr>
          <w:i/>
          <w:iCs/>
        </w:rPr>
      </w:pPr>
      <w:bookmarkStart w:id="3" w:name="_Toc50553235"/>
      <w:r w:rsidRPr="00A71375">
        <w:t xml:space="preserve">1.2 </w:t>
      </w:r>
      <w:r w:rsidR="00C355B8" w:rsidRPr="00A71375">
        <w:t>Study Management</w:t>
      </w:r>
      <w:bookmarkEnd w:id="3"/>
    </w:p>
    <w:p w14:paraId="3DC0E7E8" w14:textId="7CF9FC1A" w:rsidR="00CA2876" w:rsidRPr="00A71375" w:rsidRDefault="007C7273" w:rsidP="00976B21">
      <w:pPr>
        <w:pStyle w:val="BodyTextblue"/>
      </w:pPr>
      <w:r w:rsidRPr="00A71375">
        <w:t>{</w:t>
      </w:r>
      <w:r w:rsidR="00E9193A" w:rsidRPr="00A71375">
        <w:t xml:space="preserve">This section </w:t>
      </w:r>
      <w:r w:rsidR="004B18A8" w:rsidRPr="00A71375">
        <w:t>include</w:t>
      </w:r>
      <w:r w:rsidR="00695F22" w:rsidRPr="00A71375">
        <w:t xml:space="preserve">s the </w:t>
      </w:r>
      <w:r w:rsidR="00E44B0A" w:rsidRPr="00A71375">
        <w:t xml:space="preserve">proposed </w:t>
      </w:r>
      <w:r w:rsidR="00A22334" w:rsidRPr="00A71375">
        <w:t>partic</w:t>
      </w:r>
      <w:r w:rsidR="00C01B56" w:rsidRPr="00A71375">
        <w:t xml:space="preserve">ipating </w:t>
      </w:r>
      <w:r w:rsidR="00E44B0A" w:rsidRPr="00A71375">
        <w:t>sites</w:t>
      </w:r>
      <w:r w:rsidR="00037E52" w:rsidRPr="00A71375">
        <w:t xml:space="preserve"> and their responsibilities.</w:t>
      </w:r>
      <w:r w:rsidR="00E44B0A" w:rsidRPr="00A71375">
        <w:t xml:space="preserve"> </w:t>
      </w:r>
      <w:r w:rsidR="00FB6409" w:rsidRPr="00A71375">
        <w:t xml:space="preserve">In addition, this section should include the </w:t>
      </w:r>
      <w:r w:rsidR="00AF0343" w:rsidRPr="00A71375">
        <w:t>planned enrollment timetable (i.e.</w:t>
      </w:r>
      <w:r w:rsidR="00AC319F" w:rsidRPr="00A71375">
        <w:t xml:space="preserve"> </w:t>
      </w:r>
      <w:r w:rsidR="0010761B" w:rsidRPr="00A71375">
        <w:t>projected enrollment).</w:t>
      </w:r>
      <w:r w:rsidRPr="00A71375">
        <w:t>}</w:t>
      </w:r>
    </w:p>
    <w:p w14:paraId="10BBB4BF" w14:textId="28825C6D" w:rsidR="00504227" w:rsidRPr="00A71375" w:rsidRDefault="00015514" w:rsidP="00D711C0">
      <w:pPr>
        <w:pStyle w:val="Heading1"/>
      </w:pPr>
      <w:bookmarkStart w:id="4" w:name="_Toc50553236"/>
      <w:r w:rsidRPr="00A71375">
        <w:t>2</w:t>
      </w:r>
      <w:r w:rsidR="00504227" w:rsidRPr="00A71375">
        <w:t>.0 Partic</w:t>
      </w:r>
      <w:r w:rsidR="00AC70C2" w:rsidRPr="00A71375">
        <w:t>i</w:t>
      </w:r>
      <w:r w:rsidR="00504227" w:rsidRPr="00A71375">
        <w:t>pant Safety</w:t>
      </w:r>
      <w:bookmarkEnd w:id="4"/>
    </w:p>
    <w:p w14:paraId="44A6AFC5" w14:textId="1417553A" w:rsidR="00504227" w:rsidRPr="00A71375" w:rsidRDefault="00015514" w:rsidP="00976B21">
      <w:pPr>
        <w:pStyle w:val="Heading2"/>
        <w:spacing w:before="0"/>
        <w:rPr>
          <w:i/>
        </w:rPr>
      </w:pPr>
      <w:bookmarkStart w:id="5" w:name="_Toc50553237"/>
      <w:r w:rsidRPr="00A71375">
        <w:t>2</w:t>
      </w:r>
      <w:r w:rsidR="00504227" w:rsidRPr="00A71375">
        <w:t>.1 Potential Risks and Benefits for Participants</w:t>
      </w:r>
      <w:bookmarkEnd w:id="5"/>
    </w:p>
    <w:p w14:paraId="7CA1E309" w14:textId="5F93673E" w:rsidR="00CA2876" w:rsidRPr="00A71375" w:rsidRDefault="007C7273" w:rsidP="00976B21">
      <w:pPr>
        <w:pStyle w:val="BodyTextblue"/>
      </w:pPr>
      <w:r w:rsidRPr="00A71375">
        <w:t>{</w:t>
      </w:r>
      <w:r w:rsidR="00504227" w:rsidRPr="00A71375">
        <w:t>This section outlines the potential risks and benefits of the research for the study participants and for society</w:t>
      </w:r>
      <w:r w:rsidR="005C05AF" w:rsidRPr="00A71375">
        <w:t>. It should include a description</w:t>
      </w:r>
      <w:r w:rsidR="003943FA" w:rsidRPr="00A71375">
        <w:t xml:space="preserve"> of</w:t>
      </w:r>
      <w:r w:rsidR="005C05AF" w:rsidRPr="00A71375">
        <w:t xml:space="preserve"> </w:t>
      </w:r>
      <w:r w:rsidR="00F36B42" w:rsidRPr="00A71375">
        <w:t xml:space="preserve">all expected </w:t>
      </w:r>
      <w:r w:rsidR="005C05AF" w:rsidRPr="00A71375">
        <w:t>adverse events</w:t>
      </w:r>
      <w:r w:rsidR="008853D4" w:rsidRPr="00A71375">
        <w:t xml:space="preserve"> (AE</w:t>
      </w:r>
      <w:r w:rsidR="00F36B42" w:rsidRPr="00A71375">
        <w:t>s</w:t>
      </w:r>
      <w:r w:rsidR="00206462" w:rsidRPr="00A71375">
        <w:t>)</w:t>
      </w:r>
      <w:r w:rsidR="005C05AF" w:rsidRPr="00A71375">
        <w:t xml:space="preserve">, the known side effects of the intervention, and </w:t>
      </w:r>
      <w:r w:rsidR="00F36B42" w:rsidRPr="00A71375">
        <w:t xml:space="preserve">all known </w:t>
      </w:r>
      <w:r w:rsidR="005C05AF" w:rsidRPr="00A71375">
        <w:t>risks or complications of the outcomes being assessed.</w:t>
      </w:r>
      <w:r w:rsidRPr="00A71375">
        <w:t>}</w:t>
      </w:r>
      <w:r w:rsidR="005C05AF" w:rsidRPr="00A71375">
        <w:t xml:space="preserve"> </w:t>
      </w:r>
    </w:p>
    <w:p w14:paraId="2BFB87B4" w14:textId="087C7CC5" w:rsidR="001209E9" w:rsidRPr="00A71375" w:rsidRDefault="001209E9" w:rsidP="00976B21">
      <w:pPr>
        <w:pStyle w:val="Heading3"/>
      </w:pPr>
      <w:bookmarkStart w:id="6" w:name="_Toc50553238"/>
      <w:r w:rsidRPr="00A71375">
        <w:t xml:space="preserve">2.1.1 </w:t>
      </w:r>
      <w:r w:rsidR="00504227" w:rsidRPr="00A71375">
        <w:t>Potential Risks</w:t>
      </w:r>
      <w:bookmarkEnd w:id="6"/>
      <w:r w:rsidR="00504227" w:rsidRPr="00A71375">
        <w:t xml:space="preserve"> </w:t>
      </w:r>
    </w:p>
    <w:p w14:paraId="204BAB41" w14:textId="1976BC8D" w:rsidR="006B2EA5" w:rsidRPr="00A71375" w:rsidRDefault="001209E9" w:rsidP="00976B21">
      <w:pPr>
        <w:pStyle w:val="BodyTextblue"/>
      </w:pPr>
      <w:r w:rsidRPr="00A71375">
        <w:t>{</w:t>
      </w:r>
      <w:r w:rsidR="00504227" w:rsidRPr="00A71375">
        <w:t>Outline potential risks for study participants</w:t>
      </w:r>
      <w:r w:rsidR="78F7C26E" w:rsidRPr="00A71375">
        <w:t xml:space="preserve"> including a breach of confidentiality</w:t>
      </w:r>
      <w:r w:rsidR="00504227" w:rsidRPr="00A71375">
        <w:t>.</w:t>
      </w:r>
      <w:r w:rsidRPr="00A71375">
        <w:t>}</w:t>
      </w:r>
      <w:r w:rsidR="00504227" w:rsidRPr="00A71375">
        <w:t xml:space="preserve"> </w:t>
      </w:r>
    </w:p>
    <w:p w14:paraId="5FE61878" w14:textId="219D3095" w:rsidR="007C7273" w:rsidRPr="00A71375" w:rsidRDefault="007C7273" w:rsidP="00976B21">
      <w:pPr>
        <w:pStyle w:val="BodyTextSample"/>
      </w:pPr>
      <w:r w:rsidRPr="00A71375">
        <w:t>{Begin sample text}</w:t>
      </w:r>
    </w:p>
    <w:p w14:paraId="72B68D83" w14:textId="7859B72C" w:rsidR="007C7273" w:rsidRPr="00A71375" w:rsidRDefault="00504227" w:rsidP="00976B21">
      <w:pPr>
        <w:pStyle w:val="BodyText"/>
        <w:rPr>
          <w:i/>
        </w:rPr>
      </w:pPr>
      <w:r w:rsidRPr="00A71375">
        <w:t xml:space="preserve">The potential risks to study participants include </w:t>
      </w:r>
      <w:r w:rsidR="00D70734" w:rsidRPr="00A71375">
        <w:t xml:space="preserve">but are not limited to </w:t>
      </w:r>
      <w:r w:rsidRPr="00A71375">
        <w:t>temporary slight discoloration of the skin after blood draws</w:t>
      </w:r>
      <w:r w:rsidR="009A667D" w:rsidRPr="00A71375">
        <w:t xml:space="preserve"> and</w:t>
      </w:r>
      <w:r w:rsidR="00D70734" w:rsidRPr="00A71375">
        <w:t xml:space="preserve"> pain at the blood draw site</w:t>
      </w:r>
      <w:r w:rsidRPr="00A71375">
        <w:t>.</w:t>
      </w:r>
    </w:p>
    <w:p w14:paraId="764215AD" w14:textId="1FFAC725" w:rsidR="007C7273" w:rsidRPr="00A71375" w:rsidRDefault="007C7273" w:rsidP="00976B21">
      <w:pPr>
        <w:pStyle w:val="BodyTextSample"/>
      </w:pPr>
      <w:r w:rsidRPr="00A71375">
        <w:t>{End sample text}</w:t>
      </w:r>
    </w:p>
    <w:p w14:paraId="7ACB1C57" w14:textId="2625856D" w:rsidR="001209E9" w:rsidRPr="00A71375" w:rsidRDefault="001209E9" w:rsidP="00976B21">
      <w:pPr>
        <w:pStyle w:val="Heading3"/>
      </w:pPr>
      <w:bookmarkStart w:id="7" w:name="_Toc50553239"/>
      <w:r w:rsidRPr="00A71375">
        <w:rPr>
          <w:iCs/>
        </w:rPr>
        <w:t xml:space="preserve">2.1.2 </w:t>
      </w:r>
      <w:r w:rsidR="00504227" w:rsidRPr="00A71375">
        <w:t>Potential Benefits</w:t>
      </w:r>
      <w:bookmarkEnd w:id="7"/>
      <w:r w:rsidR="00504227" w:rsidRPr="00A71375">
        <w:t xml:space="preserve"> </w:t>
      </w:r>
    </w:p>
    <w:p w14:paraId="591C77BC" w14:textId="4562B3F5" w:rsidR="006F5D1E" w:rsidRPr="00A71375" w:rsidRDefault="001209E9" w:rsidP="00976B21">
      <w:pPr>
        <w:pStyle w:val="BodyTextblue"/>
      </w:pPr>
      <w:r w:rsidRPr="00A71375">
        <w:t>{</w:t>
      </w:r>
      <w:r w:rsidR="00504227" w:rsidRPr="00A71375">
        <w:t>Outline potential benefits for study participants</w:t>
      </w:r>
      <w:r w:rsidR="00F36B42" w:rsidRPr="00A71375">
        <w:t xml:space="preserve"> or if there are no direct </w:t>
      </w:r>
      <w:r w:rsidR="007C64E9" w:rsidRPr="00A71375">
        <w:t>b</w:t>
      </w:r>
      <w:r w:rsidR="00F36B42" w:rsidRPr="00A71375">
        <w:t>enefits to the participants</w:t>
      </w:r>
      <w:r w:rsidR="00504227" w:rsidRPr="00A71375">
        <w:t>.</w:t>
      </w:r>
      <w:r w:rsidRPr="00A71375">
        <w:t>}</w:t>
      </w:r>
    </w:p>
    <w:p w14:paraId="5802C1A6" w14:textId="4BE9AF9D" w:rsidR="007C7273" w:rsidRPr="00A71375" w:rsidRDefault="007C7273" w:rsidP="00976B21">
      <w:pPr>
        <w:pStyle w:val="BodyTextSample"/>
      </w:pPr>
      <w:r w:rsidRPr="00A71375">
        <w:t>{Begin sample text}</w:t>
      </w:r>
    </w:p>
    <w:p w14:paraId="069B8BC7" w14:textId="21D1EA80" w:rsidR="006F5D1E" w:rsidRPr="00A71375" w:rsidRDefault="00504227" w:rsidP="00A44F70">
      <w:pPr>
        <w:pStyle w:val="BodyText"/>
      </w:pPr>
      <w:r w:rsidRPr="00A71375">
        <w:t xml:space="preserve">The potential benefits to study participants include </w:t>
      </w:r>
      <w:r w:rsidR="00D70734" w:rsidRPr="00A71375">
        <w:t xml:space="preserve">but are not limited to </w:t>
      </w:r>
      <w:r w:rsidRPr="00A71375">
        <w:t>ongoing nutritional counseling will be provided to all participants.</w:t>
      </w:r>
    </w:p>
    <w:p w14:paraId="58927D2D" w14:textId="077E4E48" w:rsidR="007C7273" w:rsidRDefault="007C7273" w:rsidP="00D711C0">
      <w:pPr>
        <w:pStyle w:val="BodyTextSample"/>
      </w:pPr>
      <w:r w:rsidRPr="00A71375">
        <w:t>{End sample text}</w:t>
      </w:r>
    </w:p>
    <w:p w14:paraId="003E4320" w14:textId="0CE6B90E" w:rsidR="00504227" w:rsidRPr="00A71375" w:rsidRDefault="00015514" w:rsidP="00A44F70">
      <w:pPr>
        <w:pStyle w:val="Heading2"/>
        <w:rPr>
          <w:i/>
          <w:iCs/>
        </w:rPr>
      </w:pPr>
      <w:bookmarkStart w:id="8" w:name="_Toc467658639"/>
      <w:bookmarkStart w:id="9" w:name="_Toc50553240"/>
      <w:bookmarkEnd w:id="1"/>
      <w:r w:rsidRPr="00A71375">
        <w:lastRenderedPageBreak/>
        <w:t>2</w:t>
      </w:r>
      <w:r w:rsidR="00504227" w:rsidRPr="00A71375">
        <w:t>.</w:t>
      </w:r>
      <w:r w:rsidR="00023964" w:rsidRPr="00A71375">
        <w:t>2</w:t>
      </w:r>
      <w:r w:rsidR="00504227" w:rsidRPr="00A71375">
        <w:t xml:space="preserve"> Protection </w:t>
      </w:r>
      <w:r w:rsidR="00CA27A9" w:rsidRPr="00A71375">
        <w:t xml:space="preserve">Against </w:t>
      </w:r>
      <w:r w:rsidR="00504227" w:rsidRPr="00A71375">
        <w:t>Study Risks</w:t>
      </w:r>
      <w:bookmarkEnd w:id="8"/>
      <w:bookmarkEnd w:id="9"/>
    </w:p>
    <w:p w14:paraId="12F15DAF" w14:textId="7202AA05" w:rsidR="006129CF" w:rsidRPr="00A71375" w:rsidRDefault="007C7273" w:rsidP="00976B21">
      <w:pPr>
        <w:pStyle w:val="BodyTextblue"/>
        <w:rPr>
          <w:b/>
        </w:rPr>
      </w:pPr>
      <w:r w:rsidRPr="00A71375">
        <w:t>{</w:t>
      </w:r>
      <w:r w:rsidR="00504227" w:rsidRPr="00A71375">
        <w:t xml:space="preserve">This section provides information on how risks to participants </w:t>
      </w:r>
      <w:r w:rsidR="003943FA" w:rsidRPr="00A71375">
        <w:t xml:space="preserve">will be </w:t>
      </w:r>
      <w:r w:rsidR="00A46A46" w:rsidRPr="00A71375">
        <w:t xml:space="preserve">managed. It </w:t>
      </w:r>
      <w:r w:rsidR="00504227" w:rsidRPr="00A71375">
        <w:t xml:space="preserve">should specify any events that would preclude a participant from continuing </w:t>
      </w:r>
      <w:r w:rsidR="00A46A46" w:rsidRPr="00A71375">
        <w:t>in the study</w:t>
      </w:r>
      <w:r w:rsidR="00504227" w:rsidRPr="00A71375">
        <w:t xml:space="preserve">. In general, the format and content of this section are similar to the Human </w:t>
      </w:r>
      <w:r w:rsidR="00613E81" w:rsidRPr="00A71375">
        <w:t>Participant</w:t>
      </w:r>
      <w:r w:rsidR="00504227" w:rsidRPr="00A71375">
        <w:t xml:space="preserve">s section of the </w:t>
      </w:r>
      <w:r w:rsidR="00C53DA9" w:rsidRPr="00A71375">
        <w:t xml:space="preserve">grant </w:t>
      </w:r>
      <w:r w:rsidR="00504227" w:rsidRPr="00A71375">
        <w:t xml:space="preserve">application. </w:t>
      </w:r>
    </w:p>
    <w:p w14:paraId="2F322AD8" w14:textId="1EBF9FCD" w:rsidR="00504227" w:rsidRPr="00A71375" w:rsidRDefault="00F00D89" w:rsidP="00976B21">
      <w:pPr>
        <w:pStyle w:val="BodyTextblue"/>
        <w:rPr>
          <w:rFonts w:eastAsia="Arial"/>
        </w:rPr>
      </w:pPr>
      <w:r w:rsidRPr="00A71375">
        <w:t xml:space="preserve">In addition, this section </w:t>
      </w:r>
      <w:r w:rsidR="003853E1" w:rsidRPr="00A71375">
        <w:t>d</w:t>
      </w:r>
      <w:r w:rsidR="00504227" w:rsidRPr="00A71375">
        <w:t>escribe</w:t>
      </w:r>
      <w:r w:rsidR="003853E1" w:rsidRPr="00A71375">
        <w:t>s</w:t>
      </w:r>
      <w:r w:rsidR="00504227" w:rsidRPr="00A71375">
        <w:t xml:space="preserve"> measures to protect participants against study specific risks</w:t>
      </w:r>
      <w:r w:rsidR="13FD92C9" w:rsidRPr="00A71375">
        <w:t xml:space="preserve"> </w:t>
      </w:r>
      <w:r w:rsidR="13FD92C9" w:rsidRPr="00A71375">
        <w:rPr>
          <w:rFonts w:eastAsia="Arial"/>
        </w:rPr>
        <w:t>including the data security to protect the confidentiality of the data.</w:t>
      </w:r>
      <w:r w:rsidR="007C7273" w:rsidRPr="00A71375">
        <w:rPr>
          <w:rFonts w:eastAsia="Arial"/>
        </w:rPr>
        <w:t>}</w:t>
      </w:r>
    </w:p>
    <w:p w14:paraId="1409BDE0" w14:textId="77777777" w:rsidR="007C7273" w:rsidRPr="00A71375" w:rsidRDefault="007C7273" w:rsidP="00976B21">
      <w:pPr>
        <w:pStyle w:val="BodyTextSample"/>
      </w:pPr>
      <w:r w:rsidRPr="00A71375">
        <w:t>{Begin sample text}</w:t>
      </w:r>
    </w:p>
    <w:p w14:paraId="1FFF56AA" w14:textId="45B8DFB9" w:rsidR="00504227" w:rsidRPr="00A71375" w:rsidRDefault="00504227">
      <w:pPr>
        <w:rPr>
          <w:i/>
          <w:iCs/>
          <w:sz w:val="24"/>
          <w:szCs w:val="24"/>
        </w:rPr>
      </w:pPr>
      <w:r w:rsidRPr="00A71375">
        <w:rPr>
          <w:sz w:val="24"/>
          <w:szCs w:val="24"/>
        </w:rPr>
        <w:t xml:space="preserve">The procedures to protect against risks </w:t>
      </w:r>
      <w:r w:rsidRPr="00A71375">
        <w:rPr>
          <w:i/>
          <w:iCs/>
          <w:sz w:val="24"/>
          <w:szCs w:val="24"/>
        </w:rPr>
        <w:t xml:space="preserve">(describe known risks) </w:t>
      </w:r>
      <w:r w:rsidRPr="00A71375">
        <w:rPr>
          <w:sz w:val="24"/>
          <w:szCs w:val="24"/>
        </w:rPr>
        <w:t xml:space="preserve">include </w:t>
      </w:r>
      <w:r w:rsidRPr="00A71375">
        <w:rPr>
          <w:i/>
          <w:iCs/>
          <w:sz w:val="24"/>
          <w:szCs w:val="24"/>
        </w:rPr>
        <w:t>(e.g., a safe, hygienic environment for all medical procedures and an experienced, certified staff</w:t>
      </w:r>
      <w:r w:rsidR="006129CF" w:rsidRPr="00A71375">
        <w:rPr>
          <w:i/>
          <w:iCs/>
          <w:sz w:val="24"/>
          <w:szCs w:val="24"/>
        </w:rPr>
        <w:t>.</w:t>
      </w:r>
      <w:r w:rsidRPr="00A71375">
        <w:rPr>
          <w:i/>
          <w:iCs/>
          <w:sz w:val="24"/>
          <w:szCs w:val="24"/>
        </w:rPr>
        <w:t>)</w:t>
      </w:r>
    </w:p>
    <w:p w14:paraId="066E08D8" w14:textId="606BA7BA" w:rsidR="007C7273" w:rsidRPr="00A71375" w:rsidRDefault="007C7273" w:rsidP="00976B21">
      <w:pPr>
        <w:pStyle w:val="BodyTextSample"/>
      </w:pPr>
      <w:r w:rsidRPr="00A71375">
        <w:t>{End sample text}</w:t>
      </w:r>
    </w:p>
    <w:p w14:paraId="090BB915" w14:textId="4FF1D67E" w:rsidR="00F37129" w:rsidRPr="00A71375" w:rsidRDefault="00015514" w:rsidP="00976B21">
      <w:pPr>
        <w:pStyle w:val="Heading3"/>
      </w:pPr>
      <w:bookmarkStart w:id="10" w:name="_Toc43730203"/>
      <w:bookmarkStart w:id="11" w:name="_Ref43733851"/>
      <w:bookmarkStart w:id="12" w:name="_Toc50553241"/>
      <w:r w:rsidRPr="00A71375">
        <w:t>2</w:t>
      </w:r>
      <w:r w:rsidR="006129CF" w:rsidRPr="00A71375">
        <w:t>.</w:t>
      </w:r>
      <w:r w:rsidR="009002D4" w:rsidRPr="00A71375">
        <w:t>2.1</w:t>
      </w:r>
      <w:r w:rsidR="006129CF" w:rsidRPr="00A71375">
        <w:t xml:space="preserve"> </w:t>
      </w:r>
      <w:r w:rsidR="007010BD" w:rsidRPr="00A71375">
        <w:t>Informed Consent Process</w:t>
      </w:r>
      <w:bookmarkEnd w:id="10"/>
      <w:bookmarkEnd w:id="11"/>
      <w:bookmarkEnd w:id="12"/>
    </w:p>
    <w:p w14:paraId="1DF92F2D" w14:textId="46856D2E" w:rsidR="00E97E82" w:rsidRPr="00A71375" w:rsidRDefault="007C7273" w:rsidP="00976B21">
      <w:pPr>
        <w:pStyle w:val="BodyTextblue"/>
      </w:pPr>
      <w:r w:rsidRPr="00A71375">
        <w:rPr>
          <w:bCs/>
        </w:rPr>
        <w:t>{</w:t>
      </w:r>
      <w:r w:rsidR="00F37129" w:rsidRPr="00A71375">
        <w:rPr>
          <w:bCs/>
        </w:rPr>
        <w:t xml:space="preserve">This </w:t>
      </w:r>
      <w:r w:rsidR="00D109F1" w:rsidRPr="00A71375">
        <w:rPr>
          <w:bCs/>
        </w:rPr>
        <w:t>section</w:t>
      </w:r>
      <w:r w:rsidR="007010BD" w:rsidRPr="00A71375">
        <w:rPr>
          <w:bCs/>
        </w:rPr>
        <w:t xml:space="preserve"> </w:t>
      </w:r>
      <w:r w:rsidR="00DD4479" w:rsidRPr="00A71375">
        <w:t>e</w:t>
      </w:r>
      <w:r w:rsidR="007010BD" w:rsidRPr="00A71375">
        <w:t>xplain</w:t>
      </w:r>
      <w:r w:rsidR="00DD4479" w:rsidRPr="00A71375">
        <w:t>s</w:t>
      </w:r>
      <w:r w:rsidR="007010BD" w:rsidRPr="00A71375">
        <w:t xml:space="preserve"> the informed consent process. </w:t>
      </w:r>
      <w:r w:rsidR="00EB6CEA" w:rsidRPr="00A71375">
        <w:t>It should include</w:t>
      </w:r>
      <w:r w:rsidR="003960FB" w:rsidRPr="00A71375">
        <w:t>,</w:t>
      </w:r>
      <w:r w:rsidR="00EB6CEA" w:rsidRPr="00A71375">
        <w:t xml:space="preserve"> </w:t>
      </w:r>
      <w:r w:rsidR="00A37CC8" w:rsidRPr="00A71375">
        <w:t>but not be limited to</w:t>
      </w:r>
      <w:r w:rsidR="003960FB" w:rsidRPr="00A71375">
        <w:t>,</w:t>
      </w:r>
      <w:r w:rsidR="00A37CC8" w:rsidRPr="00A71375">
        <w:t xml:space="preserve"> </w:t>
      </w:r>
      <w:r w:rsidR="00A37CC8" w:rsidRPr="00A71375">
        <w:rPr>
          <w:lang w:val="en"/>
        </w:rPr>
        <w:t>who will be consenting the participant, how and under what conditions will a participant be consented</w:t>
      </w:r>
      <w:r w:rsidR="00234E0A" w:rsidRPr="00A71375">
        <w:rPr>
          <w:lang w:val="en"/>
        </w:rPr>
        <w:t xml:space="preserve">, </w:t>
      </w:r>
      <w:r w:rsidR="009A667D" w:rsidRPr="00A71375">
        <w:rPr>
          <w:lang w:val="en"/>
        </w:rPr>
        <w:t xml:space="preserve">and that </w:t>
      </w:r>
      <w:r w:rsidR="00234E0A" w:rsidRPr="00A71375">
        <w:rPr>
          <w:lang w:val="en"/>
        </w:rPr>
        <w:t>participation is voluntary</w:t>
      </w:r>
      <w:r w:rsidR="00A37CC8" w:rsidRPr="00A71375">
        <w:rPr>
          <w:lang w:val="en"/>
        </w:rPr>
        <w:t>.</w:t>
      </w:r>
      <w:r w:rsidR="00234E0A" w:rsidRPr="00A71375">
        <w:rPr>
          <w:lang w:val="en"/>
        </w:rPr>
        <w:t xml:space="preserve"> The informed consent process should meet the revised Common Rule requirements for consenting.</w:t>
      </w:r>
      <w:r w:rsidR="00CE7DD0" w:rsidRPr="00A71375">
        <w:rPr>
          <w:lang w:val="en"/>
        </w:rPr>
        <w:t xml:space="preserve"> For further details on this requirement, please</w:t>
      </w:r>
      <w:r w:rsidR="00064F83" w:rsidRPr="00A71375">
        <w:rPr>
          <w:lang w:val="en"/>
        </w:rPr>
        <w:t xml:space="preserve"> visit: </w:t>
      </w:r>
      <w:hyperlink r:id="rId13" w:history="1">
        <w:r w:rsidR="008A603E" w:rsidRPr="00976B21">
          <w:rPr>
            <w:rStyle w:val="Hyperlink"/>
            <w:i w:val="0"/>
            <w:iCs w:val="0"/>
          </w:rPr>
          <w:t>https://www.ecfr.gov/cgi-bin/text-idx?SID=921afb2e7909a2cf08c5f3ce160a0c96&amp;mc=true&amp;node=se45.1.46_1116</w:t>
        </w:r>
      </w:hyperlink>
      <w:r w:rsidRPr="00A71375">
        <w:rPr>
          <w:lang w:val="en"/>
        </w:rPr>
        <w:t>}</w:t>
      </w:r>
      <w:r w:rsidR="007010BD" w:rsidRPr="00A71375">
        <w:t xml:space="preserve"> </w:t>
      </w:r>
    </w:p>
    <w:p w14:paraId="1DC023CB" w14:textId="6A695DB3" w:rsidR="007C7273" w:rsidRPr="00A71375" w:rsidRDefault="007C7273" w:rsidP="00976B21">
      <w:pPr>
        <w:pStyle w:val="BodyTextSample"/>
      </w:pPr>
      <w:r w:rsidRPr="00A71375">
        <w:t>{Begin sample text}</w:t>
      </w:r>
    </w:p>
    <w:p w14:paraId="0DAB73F3" w14:textId="2BAB984A" w:rsidR="001209E9" w:rsidRPr="00A71375" w:rsidRDefault="00F76E63" w:rsidP="00A44F70">
      <w:pPr>
        <w:pStyle w:val="BodyText"/>
        <w:rPr>
          <w:spacing w:val="-3"/>
        </w:rPr>
      </w:pPr>
      <w:r w:rsidRPr="00A71375">
        <w:t xml:space="preserve">Before individuals may participate in any screening procedures, informed consent </w:t>
      </w:r>
      <w:r w:rsidR="007E474A" w:rsidRPr="00A71375">
        <w:t xml:space="preserve">will </w:t>
      </w:r>
      <w:r w:rsidRPr="00A71375">
        <w:t xml:space="preserve">be obtained. </w:t>
      </w:r>
      <w:r w:rsidR="00535A0C" w:rsidRPr="00A71375">
        <w:t xml:space="preserve">The study team intends to follow guidelines to ensure that </w:t>
      </w:r>
      <w:r w:rsidR="006A2DCE" w:rsidRPr="00A71375">
        <w:t xml:space="preserve">all </w:t>
      </w:r>
      <w:r w:rsidR="00535A0C" w:rsidRPr="00A71375">
        <w:t xml:space="preserve">participants consent obtained will be as informed and voluntary as possible. </w:t>
      </w:r>
      <w:r w:rsidR="007010BD" w:rsidRPr="00A71375">
        <w:t xml:space="preserve">The </w:t>
      </w:r>
      <w:r w:rsidR="00535A0C" w:rsidRPr="00A71375">
        <w:t>potential participant will be informed that</w:t>
      </w:r>
      <w:r w:rsidR="00D939CB" w:rsidRPr="00A71375">
        <w:t xml:space="preserve"> participation is voluntary</w:t>
      </w:r>
      <w:r w:rsidR="0069639C">
        <w:t>,</w:t>
      </w:r>
      <w:r w:rsidR="00D939CB" w:rsidRPr="00A71375">
        <w:t xml:space="preserve"> and he/she has the right to stop at any time</w:t>
      </w:r>
      <w:r w:rsidR="007010BD" w:rsidRPr="00A71375">
        <w:rPr>
          <w:spacing w:val="-3"/>
        </w:rPr>
        <w:t>.</w:t>
      </w:r>
      <w:r w:rsidR="001209E9" w:rsidRPr="00A71375">
        <w:rPr>
          <w:spacing w:val="-3"/>
        </w:rPr>
        <w:t xml:space="preserve"> In addition, the informed consent process will meet the revised Common Rule requirements for consenting. These include but are not restricted to:</w:t>
      </w:r>
    </w:p>
    <w:p w14:paraId="058BEB80" w14:textId="6EE51ECA" w:rsidR="001209E9" w:rsidRPr="00A71375" w:rsidRDefault="001209E9" w:rsidP="00976B21">
      <w:pPr>
        <w:pStyle w:val="List1"/>
      </w:pPr>
      <w:r w:rsidRPr="00A71375">
        <w:t>Study Information – Participants should be fully informed about the study by appropriately trained study staff and have adequate time to evaluate the pros and cons of participation.</w:t>
      </w:r>
    </w:p>
    <w:p w14:paraId="63D64625" w14:textId="4960DC6E" w:rsidR="001209E9" w:rsidRPr="00A71375" w:rsidRDefault="001209E9" w:rsidP="00976B21">
      <w:pPr>
        <w:pStyle w:val="List1"/>
      </w:pPr>
      <w:r w:rsidRPr="00A71375">
        <w:t>Study Discussion – Participants should be encouraged to discuss the study with anyone they wish, particularly family and friends who might be affected (for example, persons who might be needed to provide transportation).</w:t>
      </w:r>
    </w:p>
    <w:p w14:paraId="2E4DDF92" w14:textId="23F53105" w:rsidR="001209E9" w:rsidRPr="00A71375" w:rsidRDefault="001209E9" w:rsidP="00976B21">
      <w:pPr>
        <w:pStyle w:val="List1"/>
      </w:pPr>
      <w:r w:rsidRPr="00A71375">
        <w:t>Study Data Security – Participant will be informed that study data will be de-identified to protect participant privacy and against possible identifiability.</w:t>
      </w:r>
    </w:p>
    <w:p w14:paraId="7C86AD9E" w14:textId="1066441E" w:rsidR="001209E9" w:rsidRPr="00A71375" w:rsidRDefault="001209E9" w:rsidP="00F111DC">
      <w:pPr>
        <w:pStyle w:val="List1"/>
        <w:keepNext/>
      </w:pPr>
      <w:r w:rsidRPr="00A71375">
        <w:lastRenderedPageBreak/>
        <w:t>Biospecimen collection – Participants will be given the option to provide open-ended consent for most research uses of a variety of biospecimens collected. Each sample will be stripped of identifiers.</w:t>
      </w:r>
    </w:p>
    <w:p w14:paraId="55BF6E79" w14:textId="3E4FE853" w:rsidR="001209E9" w:rsidRPr="00A71375" w:rsidRDefault="001209E9" w:rsidP="00F111DC">
      <w:pPr>
        <w:pStyle w:val="List1"/>
        <w:keepNext/>
      </w:pPr>
      <w:r w:rsidRPr="00A71375">
        <w:t>No Proxy Consent – To be eligible for participation in the study, participants must have the capacity to give their own informed consent.</w:t>
      </w:r>
    </w:p>
    <w:p w14:paraId="2BFDFD56" w14:textId="1A907F30" w:rsidR="001209E9" w:rsidRPr="00A71375" w:rsidRDefault="001209E9" w:rsidP="00976B21">
      <w:pPr>
        <w:pStyle w:val="List1"/>
      </w:pPr>
      <w:r w:rsidRPr="00A71375">
        <w:t>Environment for Informed Consent – The setting in which consent is obtained should be as private as possible so participants can freely ask questions without embarrassment.</w:t>
      </w:r>
    </w:p>
    <w:p w14:paraId="49EC9CDD" w14:textId="346C0F68" w:rsidR="001209E9" w:rsidRPr="00A71375" w:rsidRDefault="001209E9" w:rsidP="00976B21">
      <w:pPr>
        <w:pStyle w:val="List1"/>
      </w:pPr>
      <w:r w:rsidRPr="00A71375">
        <w:t>Obligations – The participant should be given a copy of the informed consent forms after they are signed, dated and witnessed.</w:t>
      </w:r>
    </w:p>
    <w:p w14:paraId="154AB536" w14:textId="3097E0C0" w:rsidR="001209E9" w:rsidRPr="00A71375" w:rsidRDefault="001209E9" w:rsidP="00976B21">
      <w:pPr>
        <w:pStyle w:val="List1"/>
      </w:pPr>
      <w:r w:rsidRPr="00A71375">
        <w:t>Copies of Informed Consent – Participants will be encouraged to keep the consent forms.</w:t>
      </w:r>
    </w:p>
    <w:p w14:paraId="5CA58751" w14:textId="4D95E2AB" w:rsidR="007010BD" w:rsidRPr="00A71375" w:rsidRDefault="001209E9" w:rsidP="00976B21">
      <w:pPr>
        <w:pStyle w:val="List1"/>
      </w:pPr>
      <w:r w:rsidRPr="00A71375">
        <w:t>Witness Signature and Source Documentation – Anyone who signs a consent form will be asked to personally date it.</w:t>
      </w:r>
    </w:p>
    <w:p w14:paraId="09D5F301" w14:textId="26753E77" w:rsidR="007C7273" w:rsidRPr="00A71375" w:rsidRDefault="007C7273" w:rsidP="007C7273">
      <w:pPr>
        <w:pStyle w:val="BodyText21"/>
        <w:rPr>
          <w:rFonts w:ascii="Arial" w:hAnsi="Arial" w:cs="Arial"/>
          <w:b/>
          <w:i/>
          <w:color w:val="4472C4" w:themeColor="accent1"/>
          <w:szCs w:val="24"/>
        </w:rPr>
      </w:pPr>
      <w:r w:rsidRPr="00A71375">
        <w:rPr>
          <w:rFonts w:ascii="Arial" w:hAnsi="Arial" w:cs="Arial"/>
          <w:b/>
          <w:i/>
          <w:color w:val="4472C4" w:themeColor="accent1"/>
          <w:szCs w:val="24"/>
        </w:rPr>
        <w:t>{End sample text}</w:t>
      </w:r>
    </w:p>
    <w:p w14:paraId="17F803B6" w14:textId="74B87E18" w:rsidR="6516B7D8" w:rsidRPr="00A71375" w:rsidRDefault="6516B7D8" w:rsidP="00D711C0">
      <w:pPr>
        <w:pStyle w:val="Heading1"/>
      </w:pPr>
      <w:bookmarkStart w:id="13" w:name="_Toc50553242"/>
      <w:r w:rsidRPr="00A71375">
        <w:t>3</w:t>
      </w:r>
      <w:r w:rsidR="00015514" w:rsidRPr="00A71375">
        <w:t>.0</w:t>
      </w:r>
      <w:r w:rsidRPr="00A71375">
        <w:t xml:space="preserve"> REPORTABLE EVENTS</w:t>
      </w:r>
      <w:bookmarkEnd w:id="13"/>
    </w:p>
    <w:p w14:paraId="234B4DED" w14:textId="64CA5BD9" w:rsidR="00B76849" w:rsidRPr="00A71375" w:rsidRDefault="3C57C614" w:rsidP="00A44F70">
      <w:pPr>
        <w:pStyle w:val="Heading2"/>
        <w:rPr>
          <w:i/>
          <w:iCs/>
        </w:rPr>
      </w:pPr>
      <w:bookmarkStart w:id="14" w:name="_Toc50553243"/>
      <w:r w:rsidRPr="00A71375">
        <w:t>3.1</w:t>
      </w:r>
      <w:r w:rsidR="14099B68" w:rsidRPr="00A71375">
        <w:t xml:space="preserve"> Definition</w:t>
      </w:r>
      <w:r w:rsidR="00B76849" w:rsidRPr="00A71375">
        <w:t>s</w:t>
      </w:r>
      <w:bookmarkEnd w:id="14"/>
      <w:r w:rsidR="14099B68" w:rsidRPr="00A71375">
        <w:t xml:space="preserve"> </w:t>
      </w:r>
    </w:p>
    <w:p w14:paraId="03FE592E" w14:textId="25A01A66" w:rsidR="00233A55" w:rsidRPr="00A71375" w:rsidRDefault="007C7273" w:rsidP="00976B21">
      <w:pPr>
        <w:pStyle w:val="BodyTextblue"/>
        <w:rPr>
          <w:bCs/>
        </w:rPr>
      </w:pPr>
      <w:r w:rsidRPr="00A71375">
        <w:t>{</w:t>
      </w:r>
      <w:r w:rsidR="00233A55" w:rsidRPr="00A71375">
        <w:t>This section should describe how to identify AEs, SAEs and U</w:t>
      </w:r>
      <w:r w:rsidR="00E27E33" w:rsidRPr="00A71375">
        <w:t>P</w:t>
      </w:r>
      <w:r w:rsidR="00233A55" w:rsidRPr="00A71375">
        <w:t>s. In the case where the intervention is a Food and Drug Administration (FDA) regulated drug, device or biologic, it should include the FDA definition, grading scale and “study relatedness” criteria of A</w:t>
      </w:r>
      <w:r w:rsidRPr="00A71375">
        <w:t>E</w:t>
      </w:r>
      <w:r w:rsidR="00233A55" w:rsidRPr="00A71375">
        <w:t>s</w:t>
      </w:r>
      <w:r w:rsidR="00B8031C" w:rsidRPr="00A71375">
        <w:rPr>
          <w:bCs/>
        </w:rPr>
        <w:t>.</w:t>
      </w:r>
      <w:r w:rsidRPr="00A71375">
        <w:rPr>
          <w:bCs/>
        </w:rPr>
        <w:t>}</w:t>
      </w:r>
      <w:r w:rsidR="00E27E33" w:rsidRPr="00A71375">
        <w:rPr>
          <w:bCs/>
        </w:rPr>
        <w:t xml:space="preserve"> </w:t>
      </w:r>
    </w:p>
    <w:p w14:paraId="0B5C84A7" w14:textId="0A2171AE" w:rsidR="00646A90" w:rsidRPr="00A71375" w:rsidRDefault="00B76849" w:rsidP="00976B21">
      <w:pPr>
        <w:pStyle w:val="Heading3"/>
        <w:rPr>
          <w:i/>
          <w:iCs/>
        </w:rPr>
      </w:pPr>
      <w:bookmarkStart w:id="15" w:name="_Toc50553244"/>
      <w:r w:rsidRPr="00A76B62">
        <w:t>3.1.1</w:t>
      </w:r>
      <w:r w:rsidRPr="00A71375">
        <w:rPr>
          <w:i/>
          <w:iCs/>
        </w:rPr>
        <w:t xml:space="preserve"> </w:t>
      </w:r>
      <w:r w:rsidR="14099B68" w:rsidRPr="00A71375">
        <w:t>Adverse Events (A</w:t>
      </w:r>
      <w:r w:rsidR="00DB7EB9" w:rsidRPr="00A71375">
        <w:t>E</w:t>
      </w:r>
      <w:r w:rsidR="14099B68" w:rsidRPr="00A71375">
        <w:t>s)</w:t>
      </w:r>
      <w:bookmarkEnd w:id="15"/>
    </w:p>
    <w:p w14:paraId="268AD1E3" w14:textId="485F13B5" w:rsidR="00ED3728" w:rsidRPr="00A71375" w:rsidRDefault="007C7273" w:rsidP="00976B21">
      <w:pPr>
        <w:pStyle w:val="BodyTextblue"/>
      </w:pPr>
      <w:r w:rsidRPr="00A71375">
        <w:t>{</w:t>
      </w:r>
      <w:r w:rsidR="00264DFC" w:rsidRPr="00A71375">
        <w:t>The definition of adverse event here is drawn from the OHRP guidance</w:t>
      </w:r>
      <w:r w:rsidR="00FB480B" w:rsidRPr="00A71375">
        <w:t xml:space="preserve"> (</w:t>
      </w:r>
      <w:hyperlink r:id="rId14" w:history="1">
        <w:r w:rsidR="00FB480B" w:rsidRPr="00A71375">
          <w:rPr>
            <w:rStyle w:val="Hyperlink"/>
            <w:i w:val="0"/>
            <w:iCs w:val="0"/>
          </w:rPr>
          <w:t>https://www.hhs.gov/ohrp/regulations-and-policy/guidance/reviewing-unanticipated-problems/index.html</w:t>
        </w:r>
      </w:hyperlink>
      <w:r w:rsidR="00FB480B" w:rsidRPr="00A71375">
        <w:t>)</w:t>
      </w:r>
      <w:r w:rsidR="00264DFC" w:rsidRPr="00A71375">
        <w:t>; for some studies, the ICH E6 definition may be more appropriate.</w:t>
      </w:r>
      <w:r w:rsidR="00264DFC" w:rsidRPr="00A71375" w:rsidDel="00233A55">
        <w:t xml:space="preserve"> </w:t>
      </w:r>
      <w:r w:rsidR="00E27E33" w:rsidRPr="00A71375">
        <w:t>Expected and unexpected AEs should be listed in this section.</w:t>
      </w:r>
      <w:r w:rsidRPr="00A71375">
        <w:t>}</w:t>
      </w:r>
      <w:r w:rsidR="00E27E33" w:rsidRPr="00A71375">
        <w:t xml:space="preserve"> </w:t>
      </w:r>
    </w:p>
    <w:p w14:paraId="1FF44CF8" w14:textId="44B600DB" w:rsidR="007C7273" w:rsidRPr="00A71375" w:rsidRDefault="007C7273" w:rsidP="00976B21">
      <w:pPr>
        <w:pStyle w:val="BodyTextSample"/>
      </w:pPr>
      <w:r w:rsidRPr="00A71375">
        <w:t>{Begin sample text}</w:t>
      </w:r>
    </w:p>
    <w:p w14:paraId="2BA90D82" w14:textId="0600F82E" w:rsidR="00757666" w:rsidRPr="00A71375" w:rsidRDefault="00CF7744" w:rsidP="00ED3728">
      <w:pPr>
        <w:rPr>
          <w:sz w:val="24"/>
          <w:szCs w:val="24"/>
        </w:rPr>
      </w:pPr>
      <w:r w:rsidRPr="00A71375">
        <w:rPr>
          <w:sz w:val="24"/>
          <w:szCs w:val="24"/>
        </w:rPr>
        <w:t>A</w:t>
      </w:r>
      <w:r w:rsidR="00ED3728" w:rsidRPr="00A71375">
        <w:rPr>
          <w:sz w:val="24"/>
          <w:szCs w:val="24"/>
        </w:rPr>
        <w:t xml:space="preserve">n </w:t>
      </w:r>
      <w:r w:rsidR="00CA47E3" w:rsidRPr="00A71375">
        <w:rPr>
          <w:sz w:val="24"/>
          <w:szCs w:val="24"/>
        </w:rPr>
        <w:t>AE</w:t>
      </w:r>
      <w:r w:rsidR="00ED3728" w:rsidRPr="00A71375">
        <w:rPr>
          <w:sz w:val="24"/>
          <w:szCs w:val="24"/>
        </w:rPr>
        <w:t xml:space="preserve"> is </w:t>
      </w:r>
      <w:r w:rsidR="00757666" w:rsidRPr="00A71375">
        <w:rPr>
          <w:sz w:val="24"/>
          <w:szCs w:val="24"/>
        </w:rPr>
        <w:t xml:space="preserve">defined as </w:t>
      </w:r>
      <w:r w:rsidR="00ED3728" w:rsidRPr="00A71375">
        <w:rPr>
          <w:sz w:val="24"/>
          <w:szCs w:val="24"/>
        </w:rPr>
        <w:t xml:space="preserve">any </w:t>
      </w:r>
      <w:r w:rsidR="00BE4A48" w:rsidRPr="00A71375">
        <w:rPr>
          <w:sz w:val="24"/>
          <w:szCs w:val="24"/>
        </w:rPr>
        <w:t xml:space="preserve">untoward or </w:t>
      </w:r>
      <w:r w:rsidR="00ED3728" w:rsidRPr="00A71375">
        <w:rPr>
          <w:sz w:val="24"/>
          <w:szCs w:val="24"/>
        </w:rPr>
        <w:t xml:space="preserve">unfavorable </w:t>
      </w:r>
      <w:r w:rsidR="00BE4A48" w:rsidRPr="00A71375">
        <w:rPr>
          <w:sz w:val="24"/>
          <w:szCs w:val="24"/>
        </w:rPr>
        <w:t>medical occurrence in a human subject, including any</w:t>
      </w:r>
      <w:r w:rsidR="005D5561" w:rsidRPr="00A71375">
        <w:rPr>
          <w:sz w:val="24"/>
          <w:szCs w:val="24"/>
        </w:rPr>
        <w:t xml:space="preserve"> abnormal sign (for example, ab</w:t>
      </w:r>
      <w:r w:rsidR="00BE4A48" w:rsidRPr="00A71375">
        <w:rPr>
          <w:sz w:val="24"/>
          <w:szCs w:val="24"/>
        </w:rPr>
        <w:t>nor</w:t>
      </w:r>
      <w:r w:rsidR="005D5561" w:rsidRPr="00A71375">
        <w:rPr>
          <w:sz w:val="24"/>
          <w:szCs w:val="24"/>
        </w:rPr>
        <w:t>m</w:t>
      </w:r>
      <w:r w:rsidR="00BE4A48" w:rsidRPr="00A71375">
        <w:rPr>
          <w:sz w:val="24"/>
          <w:szCs w:val="24"/>
        </w:rPr>
        <w:t>al physical exam or laboratory finding)</w:t>
      </w:r>
      <w:r w:rsidR="00ED3728" w:rsidRPr="00A71375">
        <w:rPr>
          <w:sz w:val="24"/>
          <w:szCs w:val="24"/>
        </w:rPr>
        <w:t>, symptom, or disease</w:t>
      </w:r>
      <w:r w:rsidR="00BE4A48" w:rsidRPr="00A71375">
        <w:rPr>
          <w:sz w:val="24"/>
          <w:szCs w:val="24"/>
        </w:rPr>
        <w:t>,</w:t>
      </w:r>
      <w:r w:rsidR="00ED3728" w:rsidRPr="00A71375">
        <w:rPr>
          <w:sz w:val="24"/>
          <w:szCs w:val="24"/>
        </w:rPr>
        <w:t xml:space="preserve"> tempora</w:t>
      </w:r>
      <w:r w:rsidR="00BE4A48" w:rsidRPr="00A71375">
        <w:rPr>
          <w:sz w:val="24"/>
          <w:szCs w:val="24"/>
        </w:rPr>
        <w:t>l</w:t>
      </w:r>
      <w:r w:rsidR="00ED3728" w:rsidRPr="00A71375">
        <w:rPr>
          <w:sz w:val="24"/>
          <w:szCs w:val="24"/>
        </w:rPr>
        <w:t xml:space="preserve">ly associated with the </w:t>
      </w:r>
      <w:r w:rsidR="00BE4A48" w:rsidRPr="00A71375">
        <w:rPr>
          <w:sz w:val="24"/>
          <w:szCs w:val="24"/>
        </w:rPr>
        <w:t xml:space="preserve">subject’s </w:t>
      </w:r>
      <w:r w:rsidR="00ED3728" w:rsidRPr="00A71375">
        <w:rPr>
          <w:sz w:val="24"/>
          <w:szCs w:val="24"/>
        </w:rPr>
        <w:t xml:space="preserve">participation in the research, </w:t>
      </w:r>
      <w:r w:rsidR="00BE4A48" w:rsidRPr="00A71375">
        <w:rPr>
          <w:sz w:val="24"/>
          <w:szCs w:val="24"/>
        </w:rPr>
        <w:t xml:space="preserve">whether </w:t>
      </w:r>
      <w:r w:rsidR="00ED3728" w:rsidRPr="00A71375">
        <w:rPr>
          <w:sz w:val="24"/>
          <w:szCs w:val="24"/>
        </w:rPr>
        <w:t xml:space="preserve">or not </w:t>
      </w:r>
      <w:r w:rsidR="00BE4A48" w:rsidRPr="00A71375">
        <w:rPr>
          <w:sz w:val="24"/>
          <w:szCs w:val="24"/>
        </w:rPr>
        <w:t xml:space="preserve">considered </w:t>
      </w:r>
      <w:r w:rsidR="00ED3728" w:rsidRPr="00A71375">
        <w:rPr>
          <w:sz w:val="24"/>
          <w:szCs w:val="24"/>
        </w:rPr>
        <w:t xml:space="preserve">related to the </w:t>
      </w:r>
      <w:r w:rsidR="00BE4A48" w:rsidRPr="00A71375">
        <w:rPr>
          <w:sz w:val="24"/>
          <w:szCs w:val="24"/>
        </w:rPr>
        <w:t>subject’s participation in the research</w:t>
      </w:r>
      <w:r w:rsidR="00ED3728" w:rsidRPr="00A71375">
        <w:rPr>
          <w:sz w:val="24"/>
          <w:szCs w:val="24"/>
        </w:rPr>
        <w:t xml:space="preserve">. </w:t>
      </w:r>
    </w:p>
    <w:p w14:paraId="679B0FBE" w14:textId="225C9E16" w:rsidR="00ED3728" w:rsidRPr="00A71375" w:rsidRDefault="00CF7744" w:rsidP="00ED3728">
      <w:pPr>
        <w:rPr>
          <w:sz w:val="24"/>
          <w:szCs w:val="24"/>
        </w:rPr>
      </w:pPr>
      <w:r w:rsidRPr="00A71375">
        <w:rPr>
          <w:sz w:val="24"/>
          <w:szCs w:val="24"/>
        </w:rPr>
        <w:t xml:space="preserve">For the purposes of this study, </w:t>
      </w:r>
      <w:r w:rsidR="00ED3728" w:rsidRPr="00A71375">
        <w:rPr>
          <w:sz w:val="24"/>
          <w:szCs w:val="24"/>
        </w:rPr>
        <w:t>A</w:t>
      </w:r>
      <w:r w:rsidR="00A05D0A" w:rsidRPr="00A71375">
        <w:rPr>
          <w:sz w:val="24"/>
          <w:szCs w:val="24"/>
        </w:rPr>
        <w:t>E</w:t>
      </w:r>
      <w:r w:rsidR="00ED3728" w:rsidRPr="00A71375">
        <w:rPr>
          <w:sz w:val="24"/>
          <w:szCs w:val="24"/>
        </w:rPr>
        <w:t xml:space="preserve">s include any new events </w:t>
      </w:r>
      <w:proofErr w:type="gramStart"/>
      <w:r w:rsidR="00ED3728" w:rsidRPr="00A71375">
        <w:rPr>
          <w:sz w:val="24"/>
          <w:szCs w:val="24"/>
        </w:rPr>
        <w:t>not present</w:t>
      </w:r>
      <w:proofErr w:type="gramEnd"/>
      <w:r w:rsidR="00ED3728" w:rsidRPr="00A71375">
        <w:rPr>
          <w:sz w:val="24"/>
          <w:szCs w:val="24"/>
        </w:rPr>
        <w:t xml:space="preserve"> during the pre-intervention period or events that were present during the pre-intervention period which increased in severity.</w:t>
      </w:r>
      <w:r w:rsidR="002678D3" w:rsidRPr="00A71375">
        <w:rPr>
          <w:sz w:val="24"/>
          <w:szCs w:val="24"/>
        </w:rPr>
        <w:t xml:space="preserve"> Examples of AEs include but are not limited to the following:</w:t>
      </w:r>
    </w:p>
    <w:p w14:paraId="5E641FCB" w14:textId="6095A1A5" w:rsidR="002678D3" w:rsidRPr="00A71375" w:rsidRDefault="002678D3" w:rsidP="00976B21">
      <w:pPr>
        <w:pStyle w:val="ListParagraph"/>
      </w:pPr>
      <w:r w:rsidRPr="00A71375">
        <w:lastRenderedPageBreak/>
        <w:t xml:space="preserve">A clinically significant laboratory or clinical test result </w:t>
      </w:r>
    </w:p>
    <w:p w14:paraId="0845FE07" w14:textId="77777777" w:rsidR="001C2001" w:rsidRPr="00A71375" w:rsidRDefault="002678D3" w:rsidP="00976B21">
      <w:pPr>
        <w:pStyle w:val="ListParagraph"/>
      </w:pPr>
      <w:r w:rsidRPr="00A71375">
        <w:t>An event that occurs as a result of a study procedure</w:t>
      </w:r>
    </w:p>
    <w:p w14:paraId="31E4087E" w14:textId="27DDEBF0" w:rsidR="00A05D0A" w:rsidRPr="00A71375" w:rsidRDefault="00CA2876" w:rsidP="00976B21">
      <w:pPr>
        <w:pStyle w:val="BodyTextSample"/>
      </w:pPr>
      <w:r w:rsidRPr="00A71375">
        <w:t>{End sample text}</w:t>
      </w:r>
    </w:p>
    <w:p w14:paraId="127549FC" w14:textId="1C0D8206" w:rsidR="00820FF9" w:rsidRPr="00A71375" w:rsidRDefault="00820FF9" w:rsidP="00976B21">
      <w:pPr>
        <w:pStyle w:val="Heading3"/>
        <w:rPr>
          <w:i/>
          <w:iCs/>
        </w:rPr>
      </w:pPr>
      <w:bookmarkStart w:id="16" w:name="_Toc50553245"/>
      <w:r w:rsidRPr="00A76B62">
        <w:t>3.1.</w:t>
      </w:r>
      <w:r w:rsidR="00B76849" w:rsidRPr="00A76B62">
        <w:t>2</w:t>
      </w:r>
      <w:r w:rsidRPr="00A71375">
        <w:rPr>
          <w:i/>
          <w:iCs/>
        </w:rPr>
        <w:t xml:space="preserve"> </w:t>
      </w:r>
      <w:r w:rsidR="14099B68" w:rsidRPr="00A71375">
        <w:t>Serious Adverse Events (SAEs)</w:t>
      </w:r>
      <w:bookmarkEnd w:id="16"/>
      <w:r w:rsidR="14099B68" w:rsidRPr="00A71375">
        <w:t xml:space="preserve"> </w:t>
      </w:r>
    </w:p>
    <w:p w14:paraId="569C6FCB" w14:textId="417A31BC" w:rsidR="008133A4" w:rsidRPr="00A71375" w:rsidRDefault="007C7273" w:rsidP="00976B21">
      <w:pPr>
        <w:pStyle w:val="BodyTextblue"/>
      </w:pPr>
      <w:r w:rsidRPr="00A71375">
        <w:t>{</w:t>
      </w:r>
      <w:r w:rsidR="00C7505A" w:rsidRPr="00A71375">
        <w:t>SAEs are a subset of all A</w:t>
      </w:r>
      <w:r w:rsidR="00AB4FF6" w:rsidRPr="00A71375">
        <w:t>E</w:t>
      </w:r>
      <w:r w:rsidR="00C7505A" w:rsidRPr="00A71375">
        <w:t>s</w:t>
      </w:r>
      <w:r w:rsidR="009163FD" w:rsidRPr="00A71375">
        <w:t>.</w:t>
      </w:r>
      <w:r w:rsidRPr="00A71375">
        <w:t>}</w:t>
      </w:r>
    </w:p>
    <w:p w14:paraId="671F3CB8" w14:textId="2C9A0D7B" w:rsidR="007C7273" w:rsidRPr="00A71375" w:rsidRDefault="007C7273" w:rsidP="00976B21">
      <w:pPr>
        <w:pStyle w:val="BodyTextSample"/>
      </w:pPr>
      <w:r w:rsidRPr="00A71375">
        <w:t>{Begin sample text}</w:t>
      </w:r>
    </w:p>
    <w:p w14:paraId="538CBBDC" w14:textId="43684FC0" w:rsidR="000C7367" w:rsidRPr="00A71375" w:rsidRDefault="002678D3" w:rsidP="002678D3">
      <w:pPr>
        <w:rPr>
          <w:bCs/>
          <w:i/>
          <w:iCs/>
          <w:sz w:val="24"/>
          <w:szCs w:val="24"/>
        </w:rPr>
      </w:pPr>
      <w:r w:rsidRPr="00A71375">
        <w:rPr>
          <w:bCs/>
          <w:sz w:val="24"/>
          <w:szCs w:val="24"/>
        </w:rPr>
        <w:t xml:space="preserve">SAEs are defined as </w:t>
      </w:r>
      <w:r w:rsidR="005D5561" w:rsidRPr="00A71375">
        <w:rPr>
          <w:bCs/>
          <w:sz w:val="24"/>
          <w:szCs w:val="24"/>
        </w:rPr>
        <w:t xml:space="preserve">any adverse </w:t>
      </w:r>
      <w:r w:rsidRPr="00A71375">
        <w:rPr>
          <w:bCs/>
          <w:sz w:val="24"/>
          <w:szCs w:val="24"/>
        </w:rPr>
        <w:t xml:space="preserve">event </w:t>
      </w:r>
      <w:r w:rsidR="005D5561" w:rsidRPr="00A71375">
        <w:rPr>
          <w:bCs/>
          <w:sz w:val="24"/>
          <w:szCs w:val="24"/>
        </w:rPr>
        <w:t xml:space="preserve">temporally associated with subject’s participation in research </w:t>
      </w:r>
      <w:r w:rsidRPr="00A71375">
        <w:rPr>
          <w:bCs/>
          <w:sz w:val="24"/>
          <w:szCs w:val="24"/>
        </w:rPr>
        <w:t>that meet</w:t>
      </w:r>
      <w:r w:rsidR="005D5561" w:rsidRPr="00A71375">
        <w:rPr>
          <w:bCs/>
          <w:sz w:val="24"/>
          <w:szCs w:val="24"/>
        </w:rPr>
        <w:t>s</w:t>
      </w:r>
      <w:r w:rsidRPr="00A71375">
        <w:rPr>
          <w:bCs/>
          <w:sz w:val="24"/>
          <w:szCs w:val="24"/>
        </w:rPr>
        <w:t xml:space="preserve"> any of the following criteria</w:t>
      </w:r>
      <w:r w:rsidRPr="00A71375">
        <w:rPr>
          <w:sz w:val="24"/>
          <w:szCs w:val="24"/>
        </w:rPr>
        <w:t>:</w:t>
      </w:r>
      <w:r w:rsidR="00017481" w:rsidRPr="00A71375">
        <w:rPr>
          <w:sz w:val="24"/>
          <w:szCs w:val="24"/>
        </w:rPr>
        <w:t xml:space="preserve"> </w:t>
      </w:r>
    </w:p>
    <w:p w14:paraId="1D840B32" w14:textId="7A9D8F7B" w:rsidR="00C0397A" w:rsidRPr="00A71375" w:rsidRDefault="00C0397A" w:rsidP="00976B21">
      <w:pPr>
        <w:pStyle w:val="ListParagraph"/>
        <w:numPr>
          <w:ilvl w:val="0"/>
          <w:numId w:val="25"/>
        </w:numPr>
        <w:rPr>
          <w:bCs/>
        </w:rPr>
      </w:pPr>
      <w:r w:rsidRPr="00A71375">
        <w:rPr>
          <w:bCs/>
        </w:rPr>
        <w:t>R</w:t>
      </w:r>
      <w:r w:rsidR="00017481" w:rsidRPr="00A71375">
        <w:t xml:space="preserve">esults in death </w:t>
      </w:r>
    </w:p>
    <w:p w14:paraId="19EA2163" w14:textId="05A2F822" w:rsidR="00C0397A" w:rsidRPr="00A71375" w:rsidRDefault="00C0397A" w:rsidP="00976B21">
      <w:pPr>
        <w:pStyle w:val="ListParagraph"/>
        <w:numPr>
          <w:ilvl w:val="0"/>
          <w:numId w:val="25"/>
        </w:numPr>
        <w:rPr>
          <w:bCs/>
        </w:rPr>
      </w:pPr>
      <w:r w:rsidRPr="00A71375">
        <w:rPr>
          <w:bCs/>
        </w:rPr>
        <w:t>I</w:t>
      </w:r>
      <w:r w:rsidR="00017481" w:rsidRPr="00A71375">
        <w:t xml:space="preserve">s life-threatening </w:t>
      </w:r>
      <w:r w:rsidR="005D5561" w:rsidRPr="00A71375">
        <w:t>(places the subject at immediate risk of death from the event as it occurred)</w:t>
      </w:r>
    </w:p>
    <w:p w14:paraId="73AA86AA" w14:textId="13C85451" w:rsidR="00343CCB" w:rsidRPr="00A71375" w:rsidRDefault="00C0397A" w:rsidP="00976B21">
      <w:pPr>
        <w:pStyle w:val="ListParagraph"/>
        <w:numPr>
          <w:ilvl w:val="0"/>
          <w:numId w:val="25"/>
        </w:numPr>
      </w:pPr>
      <w:r w:rsidRPr="00A71375">
        <w:t>Re</w:t>
      </w:r>
      <w:r w:rsidR="005D5561" w:rsidRPr="00A71375">
        <w:t>quires</w:t>
      </w:r>
      <w:r w:rsidRPr="00A71375">
        <w:t xml:space="preserve"> </w:t>
      </w:r>
      <w:r w:rsidR="00933166" w:rsidRPr="00A71375">
        <w:t xml:space="preserve">inpatient </w:t>
      </w:r>
      <w:r w:rsidR="00017481" w:rsidRPr="00A71375">
        <w:t>hospitalization</w:t>
      </w:r>
      <w:r w:rsidR="00933166" w:rsidRPr="00A71375">
        <w:t xml:space="preserve"> or prolongation of existing hospitali</w:t>
      </w:r>
      <w:r w:rsidR="00343CCB" w:rsidRPr="00A71375">
        <w:t>zation</w:t>
      </w:r>
    </w:p>
    <w:p w14:paraId="0567F5BA" w14:textId="76C43012" w:rsidR="005B6924" w:rsidRPr="00A71375" w:rsidRDefault="00343CCB" w:rsidP="00976B21">
      <w:pPr>
        <w:pStyle w:val="ListParagraph"/>
        <w:numPr>
          <w:ilvl w:val="0"/>
          <w:numId w:val="25"/>
        </w:numPr>
      </w:pPr>
      <w:r w:rsidRPr="00A71375">
        <w:t xml:space="preserve">Results in </w:t>
      </w:r>
      <w:r w:rsidR="005D5561" w:rsidRPr="00A71375">
        <w:t xml:space="preserve">a </w:t>
      </w:r>
      <w:r w:rsidRPr="00A71375">
        <w:t>persistent o</w:t>
      </w:r>
      <w:r w:rsidR="00F44957">
        <w:t>r</w:t>
      </w:r>
      <w:r w:rsidRPr="00A71375">
        <w:t xml:space="preserve"> </w:t>
      </w:r>
      <w:r w:rsidR="005B6924" w:rsidRPr="00A71375">
        <w:t>significant</w:t>
      </w:r>
      <w:r w:rsidRPr="00A71375">
        <w:t xml:space="preserve"> disability</w:t>
      </w:r>
      <w:r w:rsidR="005D5561" w:rsidRPr="00A71375">
        <w:t>/</w:t>
      </w:r>
      <w:r w:rsidRPr="00A71375">
        <w:t>incapacity</w:t>
      </w:r>
    </w:p>
    <w:p w14:paraId="6524F1FA" w14:textId="3D1363EB" w:rsidR="005B6924" w:rsidRPr="00A71375" w:rsidRDefault="005B6924" w:rsidP="00976B21">
      <w:pPr>
        <w:pStyle w:val="ListParagraph"/>
        <w:numPr>
          <w:ilvl w:val="0"/>
          <w:numId w:val="25"/>
        </w:numPr>
        <w:rPr>
          <w:bCs/>
        </w:rPr>
      </w:pPr>
      <w:r w:rsidRPr="00A71375">
        <w:rPr>
          <w:bCs/>
        </w:rPr>
        <w:t>R</w:t>
      </w:r>
      <w:r w:rsidR="00017481" w:rsidRPr="00A71375">
        <w:t>esults in congenital anomal</w:t>
      </w:r>
      <w:r w:rsidRPr="00A71375">
        <w:rPr>
          <w:bCs/>
        </w:rPr>
        <w:t>y</w:t>
      </w:r>
      <w:r w:rsidR="005D5561" w:rsidRPr="00A71375">
        <w:rPr>
          <w:bCs/>
        </w:rPr>
        <w:t>/</w:t>
      </w:r>
      <w:r w:rsidR="00017481" w:rsidRPr="00A71375">
        <w:t>birth defect</w:t>
      </w:r>
    </w:p>
    <w:p w14:paraId="144ED613" w14:textId="3EEDD676" w:rsidR="00233C56" w:rsidRPr="00A71375" w:rsidRDefault="00233C56" w:rsidP="00976B21">
      <w:pPr>
        <w:pStyle w:val="ListParagraph"/>
        <w:numPr>
          <w:ilvl w:val="0"/>
          <w:numId w:val="25"/>
        </w:numPr>
        <w:rPr>
          <w:bCs/>
        </w:rPr>
      </w:pPr>
      <w:r w:rsidRPr="00A71375">
        <w:t>An</w:t>
      </w:r>
      <w:r w:rsidR="005D5561" w:rsidRPr="00A71375">
        <w:t>y other adverse events that</w:t>
      </w:r>
      <w:r w:rsidRPr="00A71375">
        <w:t>, based upon appropriate medical judgment, may jeopardize the subject</w:t>
      </w:r>
      <w:r w:rsidR="005D5561" w:rsidRPr="00A71375">
        <w:t>’s health</w:t>
      </w:r>
      <w:r w:rsidRPr="00A71375">
        <w:t xml:space="preserve"> and may require medical or surgical intervention to prevent one of the </w:t>
      </w:r>
      <w:r w:rsidR="005D5561" w:rsidRPr="00A71375">
        <w:t xml:space="preserve">other </w:t>
      </w:r>
      <w:r w:rsidRPr="00A71375">
        <w:t>outcomes listed in this definition</w:t>
      </w:r>
      <w:r w:rsidR="005D5561" w:rsidRPr="00A71375">
        <w:t xml:space="preserve"> (examples of such events include allergic bronchospasm requiring intensive treatment in the emergency room or at home, blood dyscrasias or convulsions that do not result in inpatient hospitalization, or the development of drug dependency or drug abuse)</w:t>
      </w:r>
    </w:p>
    <w:p w14:paraId="7B6A97C3" w14:textId="4A1E5290" w:rsidR="007C7273" w:rsidRPr="00A71375" w:rsidRDefault="007C7273" w:rsidP="00976B21">
      <w:pPr>
        <w:pStyle w:val="BodyTextSample"/>
      </w:pPr>
      <w:r w:rsidRPr="00A71375">
        <w:t>{End sample text}</w:t>
      </w:r>
    </w:p>
    <w:p w14:paraId="6BC3FB08" w14:textId="7B14D72F" w:rsidR="3C57C614" w:rsidRPr="00A71375" w:rsidRDefault="00820FF9" w:rsidP="00976B21">
      <w:pPr>
        <w:pStyle w:val="Heading3"/>
      </w:pPr>
      <w:bookmarkStart w:id="17" w:name="_Toc50553246"/>
      <w:r w:rsidRPr="00A71375">
        <w:t>3.1.</w:t>
      </w:r>
      <w:r w:rsidR="00B76849" w:rsidRPr="00A71375">
        <w:t>3</w:t>
      </w:r>
      <w:r w:rsidRPr="00A71375">
        <w:t xml:space="preserve"> </w:t>
      </w:r>
      <w:r w:rsidR="14099B68" w:rsidRPr="00A71375">
        <w:t>Unanticipated Problems (UPs)</w:t>
      </w:r>
      <w:bookmarkEnd w:id="17"/>
    </w:p>
    <w:p w14:paraId="06255A8A" w14:textId="5DC77969" w:rsidR="00622063" w:rsidRPr="00A71375" w:rsidRDefault="007C7273" w:rsidP="00976B21">
      <w:pPr>
        <w:pStyle w:val="BodyTextblue"/>
      </w:pPr>
      <w:r w:rsidRPr="00A71375">
        <w:t>{</w:t>
      </w:r>
      <w:r w:rsidR="00622063" w:rsidRPr="00A71375">
        <w:t xml:space="preserve">The OHRP definition of UPs can be accessed using the </w:t>
      </w:r>
      <w:r w:rsidR="00FB480B" w:rsidRPr="00A71375">
        <w:t>link provided in Section 3.1.1 above.</w:t>
      </w:r>
      <w:r w:rsidRPr="00A71375">
        <w:rPr>
          <w:bCs/>
        </w:rPr>
        <w:t>}</w:t>
      </w:r>
    </w:p>
    <w:p w14:paraId="5FC75FF4" w14:textId="499D62E7" w:rsidR="007C7273" w:rsidRPr="00A71375" w:rsidRDefault="007C7273" w:rsidP="00976B21">
      <w:pPr>
        <w:pStyle w:val="BodyTextSample"/>
      </w:pPr>
      <w:r w:rsidRPr="00A71375">
        <w:t>{Begin sample text}</w:t>
      </w:r>
    </w:p>
    <w:p w14:paraId="4352ACBA" w14:textId="20777EEA" w:rsidR="00AF40C2" w:rsidRPr="00A71375" w:rsidRDefault="00975104" w:rsidP="00976B21">
      <w:pPr>
        <w:pStyle w:val="BodyText"/>
        <w:rPr>
          <w:rStyle w:val="normaltextrun"/>
        </w:rPr>
      </w:pPr>
      <w:r w:rsidRPr="00A71375">
        <w:rPr>
          <w:rStyle w:val="normaltextrun"/>
        </w:rPr>
        <w:t>U</w:t>
      </w:r>
      <w:r w:rsidR="00AF40C2" w:rsidRPr="00A71375">
        <w:rPr>
          <w:rStyle w:val="normaltextrun"/>
        </w:rPr>
        <w:t xml:space="preserve">Ps can be either AE/SAEs, which are unexpected events that relate directly to participant safety, or </w:t>
      </w:r>
      <w:r w:rsidR="00CA47E3" w:rsidRPr="00A71375">
        <w:rPr>
          <w:rStyle w:val="normaltextrun"/>
        </w:rPr>
        <w:t>p</w:t>
      </w:r>
      <w:r w:rsidR="00AF40C2" w:rsidRPr="00A71375">
        <w:rPr>
          <w:rStyle w:val="normaltextrun"/>
        </w:rPr>
        <w:t xml:space="preserve">rotocol </w:t>
      </w:r>
      <w:r w:rsidR="00CA47E3" w:rsidRPr="00A71375">
        <w:rPr>
          <w:rStyle w:val="normaltextrun"/>
        </w:rPr>
        <w:t>d</w:t>
      </w:r>
      <w:r w:rsidR="00AF40C2" w:rsidRPr="00A71375">
        <w:rPr>
          <w:rStyle w:val="normaltextrun"/>
        </w:rPr>
        <w:t>eviations that put patient privacy at risk or put patients at risk in some way that does not have an impact on their health and safety</w:t>
      </w:r>
      <w:r w:rsidR="00CA47E3" w:rsidRPr="00A71375">
        <w:rPr>
          <w:rStyle w:val="normaltextrun"/>
        </w:rPr>
        <w:t>.</w:t>
      </w:r>
    </w:p>
    <w:p w14:paraId="01626F10" w14:textId="1D1D0AD6" w:rsidR="0054202E" w:rsidRPr="00A71375" w:rsidRDefault="0054202E" w:rsidP="00976B21">
      <w:pPr>
        <w:pStyle w:val="BodyText"/>
        <w:rPr>
          <w:rStyle w:val="eop"/>
        </w:rPr>
      </w:pPr>
      <w:r w:rsidRPr="00A71375">
        <w:rPr>
          <w:rStyle w:val="normaltextrun"/>
        </w:rPr>
        <w:t>Unanticipated problems are defined as any incident, experience</w:t>
      </w:r>
      <w:r w:rsidR="005D5561" w:rsidRPr="00A71375">
        <w:rPr>
          <w:rStyle w:val="normaltextrun"/>
        </w:rPr>
        <w:t>,</w:t>
      </w:r>
      <w:r w:rsidRPr="00A71375">
        <w:rPr>
          <w:rStyle w:val="normaltextrun"/>
        </w:rPr>
        <w:t xml:space="preserve"> or outcome that meets </w:t>
      </w:r>
      <w:r w:rsidRPr="00A71375">
        <w:rPr>
          <w:rStyle w:val="normaltextrun"/>
          <w:b/>
          <w:bCs/>
        </w:rPr>
        <w:t>all</w:t>
      </w:r>
      <w:r w:rsidR="00F445F9" w:rsidRPr="00A71375">
        <w:rPr>
          <w:rStyle w:val="normaltextrun"/>
        </w:rPr>
        <w:t xml:space="preserve"> o</w:t>
      </w:r>
      <w:r w:rsidRPr="00A71375">
        <w:rPr>
          <w:rStyle w:val="normaltextrun"/>
        </w:rPr>
        <w:t xml:space="preserve">f the following </w:t>
      </w:r>
      <w:r w:rsidR="00622063" w:rsidRPr="00A71375">
        <w:rPr>
          <w:rStyle w:val="normaltextrun"/>
        </w:rPr>
        <w:t>criteria</w:t>
      </w:r>
      <w:r w:rsidRPr="00A71375">
        <w:rPr>
          <w:rStyle w:val="normaltextrun"/>
        </w:rPr>
        <w:t>: </w:t>
      </w:r>
      <w:r w:rsidRPr="00A71375">
        <w:rPr>
          <w:rStyle w:val="eop"/>
        </w:rPr>
        <w:t> </w:t>
      </w:r>
    </w:p>
    <w:p w14:paraId="384B6685" w14:textId="19321C10" w:rsidR="0054202E" w:rsidRPr="00A71375" w:rsidRDefault="0054202E" w:rsidP="00976B21">
      <w:pPr>
        <w:pStyle w:val="ListParagraph"/>
      </w:pPr>
      <w:r w:rsidRPr="00A71375">
        <w:rPr>
          <w:rStyle w:val="normaltextrun"/>
        </w:rPr>
        <w:t xml:space="preserve">Unexpected (in terms of nature, severity, or frequency) given (a) the research procedures that are described in the IRB-approved research protocol and </w:t>
      </w:r>
      <w:r w:rsidRPr="00A71375">
        <w:rPr>
          <w:rStyle w:val="normaltextrun"/>
        </w:rPr>
        <w:lastRenderedPageBreak/>
        <w:t>informed consent document; and (b) the characteristics of the participant population being studied;</w:t>
      </w:r>
      <w:r w:rsidRPr="00A71375">
        <w:rPr>
          <w:rStyle w:val="eop"/>
        </w:rPr>
        <w:t> </w:t>
      </w:r>
    </w:p>
    <w:p w14:paraId="3FA8CE84" w14:textId="326B5F4A" w:rsidR="0054202E" w:rsidRPr="00A71375" w:rsidRDefault="0054202E" w:rsidP="00976B21">
      <w:pPr>
        <w:pStyle w:val="ListParagraph"/>
      </w:pPr>
      <w:r w:rsidRPr="00A71375">
        <w:rPr>
          <w:rStyle w:val="normaltextrun"/>
        </w:rPr>
        <w:t>Related or possibly related to participation in the research. Possibly related means there is a reasonable possibility that the incident, experience, or outcome may have been caused by the procedures involved in the research); and</w:t>
      </w:r>
      <w:r w:rsidRPr="00A71375">
        <w:rPr>
          <w:rStyle w:val="eop"/>
        </w:rPr>
        <w:t> </w:t>
      </w:r>
    </w:p>
    <w:p w14:paraId="4A0766DC" w14:textId="2D0C9328" w:rsidR="0054202E" w:rsidRPr="00A71375" w:rsidRDefault="0054202E" w:rsidP="00976B21">
      <w:pPr>
        <w:pStyle w:val="ListParagraph"/>
        <w:rPr>
          <w:rStyle w:val="eop"/>
        </w:rPr>
      </w:pPr>
      <w:r w:rsidRPr="00A71375">
        <w:rPr>
          <w:rStyle w:val="normaltextrun"/>
        </w:rPr>
        <w:t>Suggests that the research places participants or others at a greater risk of harm (including physical, psychological, economic, or social harm) than was previously known or recognized.</w:t>
      </w:r>
      <w:r w:rsidRPr="00A71375">
        <w:rPr>
          <w:rStyle w:val="eop"/>
        </w:rPr>
        <w:t> </w:t>
      </w:r>
    </w:p>
    <w:p w14:paraId="442A7003" w14:textId="1208AB71" w:rsidR="00CA47E3" w:rsidRPr="00A71375" w:rsidRDefault="00CA47E3" w:rsidP="00976B21">
      <w:pPr>
        <w:pStyle w:val="BodyText"/>
      </w:pPr>
      <w:r w:rsidRPr="00A71375">
        <w:t>SAEs that are unexpected and related or possibly related to participation in research are considered to be UPs because such events always suggest that the research places subjects or others at a greater risk of physical or psychological harm than was previously known or recognized.</w:t>
      </w:r>
    </w:p>
    <w:p w14:paraId="2E1C8701" w14:textId="0BEB4889" w:rsidR="007C7273" w:rsidRPr="00A71375" w:rsidRDefault="007C7273" w:rsidP="00976B21">
      <w:pPr>
        <w:pStyle w:val="BodyTextSample"/>
      </w:pPr>
      <w:r w:rsidRPr="00A71375">
        <w:t>{End sample text}</w:t>
      </w:r>
    </w:p>
    <w:p w14:paraId="310BE901" w14:textId="0075FB48" w:rsidR="0052242A" w:rsidRPr="00A71375" w:rsidRDefault="0052242A" w:rsidP="00976B21">
      <w:pPr>
        <w:pStyle w:val="Heading3"/>
        <w:rPr>
          <w:rStyle w:val="eop"/>
          <w:b w:val="0"/>
          <w:bCs w:val="0"/>
        </w:rPr>
      </w:pPr>
      <w:bookmarkStart w:id="18" w:name="_Toc50553247"/>
      <w:r w:rsidRPr="00A71375">
        <w:rPr>
          <w:rStyle w:val="eop"/>
        </w:rPr>
        <w:t>3.1.4 Protocol Deviations</w:t>
      </w:r>
      <w:bookmarkEnd w:id="18"/>
    </w:p>
    <w:p w14:paraId="319FE7F0" w14:textId="56B04488" w:rsidR="002C7A5D" w:rsidRPr="00A71375" w:rsidRDefault="007C7273" w:rsidP="00976B21">
      <w:pPr>
        <w:pStyle w:val="BodyTextblue"/>
      </w:pPr>
      <w:r w:rsidRPr="00A71375">
        <w:t>{</w:t>
      </w:r>
      <w:r w:rsidR="002C7A5D" w:rsidRPr="00A71375">
        <w:t xml:space="preserve">This section should </w:t>
      </w:r>
      <w:r w:rsidR="00A9761B" w:rsidRPr="00A71375">
        <w:t>include the study definition of protocol deviations</w:t>
      </w:r>
      <w:r w:rsidR="006877BD" w:rsidRPr="00A71375">
        <w:t xml:space="preserve"> and define the events placing the participant at increased risk o</w:t>
      </w:r>
      <w:r w:rsidR="00CA47E3" w:rsidRPr="00A71375">
        <w:t>f</w:t>
      </w:r>
      <w:r w:rsidR="006877BD" w:rsidRPr="00A71375">
        <w:t xml:space="preserve"> harm or compromis</w:t>
      </w:r>
      <w:r w:rsidR="00CA47E3" w:rsidRPr="00A71375">
        <w:t>ing</w:t>
      </w:r>
      <w:r w:rsidR="006877BD" w:rsidRPr="00A71375">
        <w:t xml:space="preserve"> the integrity of the safety data</w:t>
      </w:r>
      <w:r w:rsidR="002C7A5D" w:rsidRPr="00A71375">
        <w:t>.</w:t>
      </w:r>
      <w:r w:rsidRPr="00A71375">
        <w:t>}</w:t>
      </w:r>
    </w:p>
    <w:p w14:paraId="334B48B5" w14:textId="760AA7FE" w:rsidR="007C7273" w:rsidRPr="00A71375" w:rsidRDefault="007C7273" w:rsidP="00976B21">
      <w:pPr>
        <w:pStyle w:val="BodyTextSample"/>
      </w:pPr>
      <w:r w:rsidRPr="00A71375">
        <w:t>{Begin sample text}</w:t>
      </w:r>
    </w:p>
    <w:p w14:paraId="05AE63D4" w14:textId="4935A7D6" w:rsidR="00817B84" w:rsidRPr="00A71375" w:rsidRDefault="00FB53BF" w:rsidP="00976B21">
      <w:pPr>
        <w:pStyle w:val="BodyText"/>
      </w:pPr>
      <w:r w:rsidRPr="00A71375">
        <w:t>A p</w:t>
      </w:r>
      <w:r w:rsidR="00817B84" w:rsidRPr="00A71375">
        <w:t>rotocol deviation</w:t>
      </w:r>
      <w:r w:rsidRPr="00A71375">
        <w:t xml:space="preserve"> is</w:t>
      </w:r>
      <w:r w:rsidR="00817B84" w:rsidRPr="00A71375">
        <w:t xml:space="preserve"> generally an unplanned excursion from the protocol that is not implemented or intended as a systematic chang</w:t>
      </w:r>
      <w:r w:rsidR="0043730E" w:rsidRPr="00A71375">
        <w:t>e.</w:t>
      </w:r>
    </w:p>
    <w:p w14:paraId="7269A78B" w14:textId="2A749CCE" w:rsidR="005F2BAC" w:rsidRPr="00A71375" w:rsidRDefault="005F2BAC" w:rsidP="00976B21">
      <w:pPr>
        <w:pStyle w:val="BodyText"/>
      </w:pPr>
      <w:r w:rsidRPr="00A71375">
        <w:t>Protocol deviations include, but are not limited to, the following:</w:t>
      </w:r>
    </w:p>
    <w:p w14:paraId="5A4D834B" w14:textId="6414DB19" w:rsidR="005F2BAC" w:rsidRPr="00A71375" w:rsidRDefault="005F2BAC" w:rsidP="00976B21">
      <w:pPr>
        <w:pStyle w:val="ListParagraph"/>
      </w:pPr>
      <w:r w:rsidRPr="00A71375">
        <w:t>Enrollment or randomization of an ineligible participant</w:t>
      </w:r>
    </w:p>
    <w:p w14:paraId="66B8B20A" w14:textId="545E16CB" w:rsidR="005F2BAC" w:rsidRPr="00A71375" w:rsidRDefault="005F2BAC" w:rsidP="00976B21">
      <w:pPr>
        <w:pStyle w:val="ListParagraph"/>
      </w:pPr>
      <w:r w:rsidRPr="00A71375">
        <w:t xml:space="preserve">Failure to obtain </w:t>
      </w:r>
      <w:r w:rsidR="00CA47E3" w:rsidRPr="00A71375">
        <w:t>i</w:t>
      </w:r>
      <w:r w:rsidRPr="00A71375">
        <w:t xml:space="preserve">nformed </w:t>
      </w:r>
      <w:r w:rsidR="00CA47E3" w:rsidRPr="00A71375">
        <w:t>c</w:t>
      </w:r>
      <w:r w:rsidRPr="00A71375">
        <w:t>onsent</w:t>
      </w:r>
    </w:p>
    <w:p w14:paraId="1A08F7AD" w14:textId="4EEB6581" w:rsidR="005F2BAC" w:rsidRPr="00A71375" w:rsidRDefault="005F2BAC" w:rsidP="00976B21">
      <w:pPr>
        <w:pStyle w:val="ListParagraph"/>
      </w:pPr>
      <w:r w:rsidRPr="00A71375">
        <w:t xml:space="preserve">Wrong </w:t>
      </w:r>
      <w:r w:rsidR="001D63F8">
        <w:t>intervention</w:t>
      </w:r>
      <w:r w:rsidR="001D63F8" w:rsidRPr="00A71375">
        <w:t xml:space="preserve"> </w:t>
      </w:r>
      <w:r w:rsidRPr="00A71375">
        <w:t>administered to participant</w:t>
      </w:r>
    </w:p>
    <w:p w14:paraId="4D9E9902" w14:textId="389D43D0" w:rsidR="0043730E" w:rsidRPr="00A71375" w:rsidRDefault="0043730E" w:rsidP="00976B21">
      <w:pPr>
        <w:pStyle w:val="ListParagraph"/>
      </w:pPr>
      <w:r w:rsidRPr="00A71375">
        <w:t xml:space="preserve">Unreported </w:t>
      </w:r>
      <w:r w:rsidR="00CA47E3" w:rsidRPr="00A71375">
        <w:t>SAEs</w:t>
      </w:r>
    </w:p>
    <w:p w14:paraId="5860BB7E" w14:textId="77777777" w:rsidR="0043730E" w:rsidRPr="00A71375" w:rsidRDefault="0043730E" w:rsidP="00976B21">
      <w:pPr>
        <w:pStyle w:val="ListParagraph"/>
      </w:pPr>
      <w:r w:rsidRPr="00A71375">
        <w:t>Improper breaking of the blind</w:t>
      </w:r>
    </w:p>
    <w:p w14:paraId="1205B27C" w14:textId="77777777" w:rsidR="0043730E" w:rsidRPr="00A71375" w:rsidRDefault="0043730E" w:rsidP="00976B21">
      <w:pPr>
        <w:pStyle w:val="ListParagraph"/>
      </w:pPr>
      <w:r w:rsidRPr="00A71375">
        <w:t>Use of prohibited medication</w:t>
      </w:r>
    </w:p>
    <w:p w14:paraId="4241D9AA" w14:textId="77777777" w:rsidR="0043730E" w:rsidRPr="00A71375" w:rsidRDefault="0043730E" w:rsidP="00976B21">
      <w:pPr>
        <w:pStyle w:val="ListParagraph"/>
      </w:pPr>
      <w:r w:rsidRPr="00A71375">
        <w:t>Mishandled samples</w:t>
      </w:r>
    </w:p>
    <w:p w14:paraId="6CB9F286" w14:textId="7797674C" w:rsidR="0043730E" w:rsidRPr="00A71375" w:rsidRDefault="0043730E" w:rsidP="00976B21">
      <w:pPr>
        <w:pStyle w:val="ListParagraph"/>
      </w:pPr>
      <w:r w:rsidRPr="00A71375">
        <w:t>Multiple visits missed or outside study windows</w:t>
      </w:r>
    </w:p>
    <w:p w14:paraId="65F0BF67" w14:textId="10F3F4D7" w:rsidR="2BD67300" w:rsidRPr="00A71375" w:rsidRDefault="007C7273" w:rsidP="00976B21">
      <w:pPr>
        <w:pStyle w:val="BodyTextSample"/>
      </w:pPr>
      <w:r w:rsidRPr="00A71375">
        <w:t>{End sample text}</w:t>
      </w:r>
    </w:p>
    <w:p w14:paraId="79C8BE6B" w14:textId="4341EA00" w:rsidR="00275889" w:rsidRPr="00A71375" w:rsidRDefault="00672D84" w:rsidP="00A44F70">
      <w:pPr>
        <w:pStyle w:val="Heading2"/>
        <w:rPr>
          <w:i/>
          <w:iCs/>
        </w:rPr>
      </w:pPr>
      <w:bookmarkStart w:id="19" w:name="_Toc50553248"/>
      <w:r w:rsidRPr="00A71375">
        <w:rPr>
          <w:rFonts w:eastAsia="Arial"/>
        </w:rPr>
        <w:lastRenderedPageBreak/>
        <w:t xml:space="preserve">3.2 </w:t>
      </w:r>
      <w:r w:rsidRPr="00A71375">
        <w:t>Collection</w:t>
      </w:r>
      <w:r w:rsidR="004F50EE" w:rsidRPr="00A71375">
        <w:t xml:space="preserve"> </w:t>
      </w:r>
      <w:r w:rsidR="00032025" w:rsidRPr="00A71375">
        <w:t xml:space="preserve">and Assessment </w:t>
      </w:r>
      <w:r w:rsidR="004F50EE" w:rsidRPr="00A71375">
        <w:t>of A</w:t>
      </w:r>
      <w:r w:rsidR="00975104" w:rsidRPr="00A71375">
        <w:t>E</w:t>
      </w:r>
      <w:r w:rsidR="004F50EE" w:rsidRPr="00A71375">
        <w:t>s, SAEs</w:t>
      </w:r>
      <w:r w:rsidR="0052242A" w:rsidRPr="00A71375">
        <w:t>,</w:t>
      </w:r>
      <w:r w:rsidR="004F50EE" w:rsidRPr="00A71375">
        <w:t xml:space="preserve"> </w:t>
      </w:r>
      <w:r w:rsidR="00E64727" w:rsidRPr="00A71375">
        <w:t>U</w:t>
      </w:r>
      <w:r w:rsidR="004F50EE" w:rsidRPr="00A71375">
        <w:t>Ps</w:t>
      </w:r>
      <w:r w:rsidR="00CA47E3" w:rsidRPr="00A71375">
        <w:t>,</w:t>
      </w:r>
      <w:r w:rsidR="0052242A" w:rsidRPr="00A71375">
        <w:t xml:space="preserve"> </w:t>
      </w:r>
      <w:bookmarkStart w:id="20" w:name="_Hlk40192219"/>
      <w:r w:rsidR="0052242A" w:rsidRPr="00A71375">
        <w:t>and Protocol Deviations</w:t>
      </w:r>
      <w:bookmarkEnd w:id="19"/>
    </w:p>
    <w:p w14:paraId="42D552F5" w14:textId="3A00B804" w:rsidR="00032025" w:rsidRPr="00A71375" w:rsidRDefault="00DA212E" w:rsidP="00F111DC">
      <w:pPr>
        <w:keepLines/>
        <w:spacing w:line="274" w:lineRule="auto"/>
        <w:rPr>
          <w:i/>
          <w:iCs/>
          <w:color w:val="4472C4" w:themeColor="accent1"/>
          <w:sz w:val="24"/>
          <w:szCs w:val="24"/>
        </w:rPr>
      </w:pPr>
      <w:bookmarkStart w:id="21" w:name="_Hlk48231422"/>
      <w:bookmarkEnd w:id="20"/>
      <w:r w:rsidRPr="00A71375">
        <w:rPr>
          <w:i/>
          <w:iCs/>
          <w:color w:val="4472C4" w:themeColor="accent1"/>
          <w:sz w:val="24"/>
          <w:szCs w:val="24"/>
        </w:rPr>
        <w:t>{</w:t>
      </w:r>
      <w:r w:rsidR="00386435" w:rsidRPr="00A71375">
        <w:rPr>
          <w:i/>
          <w:iCs/>
          <w:color w:val="4472C4" w:themeColor="accent1"/>
          <w:sz w:val="24"/>
          <w:szCs w:val="24"/>
        </w:rPr>
        <w:t xml:space="preserve">The </w:t>
      </w:r>
      <w:r w:rsidR="00F26D0C" w:rsidRPr="00A71375">
        <w:rPr>
          <w:i/>
          <w:iCs/>
          <w:color w:val="4472C4" w:themeColor="accent1"/>
          <w:sz w:val="24"/>
          <w:szCs w:val="24"/>
        </w:rPr>
        <w:t>section should include who is responsible for collecting</w:t>
      </w:r>
      <w:r w:rsidR="00623EE4" w:rsidRPr="00A71375">
        <w:rPr>
          <w:i/>
          <w:iCs/>
          <w:color w:val="4472C4" w:themeColor="accent1"/>
          <w:sz w:val="24"/>
          <w:szCs w:val="24"/>
        </w:rPr>
        <w:t xml:space="preserve"> these events</w:t>
      </w:r>
      <w:r w:rsidR="005F7FC3" w:rsidRPr="00A71375">
        <w:rPr>
          <w:i/>
          <w:iCs/>
          <w:color w:val="4472C4" w:themeColor="accent1"/>
          <w:sz w:val="24"/>
          <w:szCs w:val="24"/>
        </w:rPr>
        <w:t>,</w:t>
      </w:r>
      <w:r w:rsidR="00623EE4" w:rsidRPr="00A71375">
        <w:rPr>
          <w:i/>
          <w:iCs/>
          <w:color w:val="4472C4" w:themeColor="accent1"/>
          <w:sz w:val="24"/>
          <w:szCs w:val="24"/>
        </w:rPr>
        <w:t xml:space="preserve"> </w:t>
      </w:r>
      <w:r w:rsidR="00850C95" w:rsidRPr="00A71375">
        <w:rPr>
          <w:i/>
          <w:iCs/>
          <w:color w:val="4472C4" w:themeColor="accent1"/>
          <w:sz w:val="24"/>
          <w:szCs w:val="24"/>
        </w:rPr>
        <w:t>how the infor</w:t>
      </w:r>
      <w:r w:rsidR="00EE2B0D" w:rsidRPr="00A71375">
        <w:rPr>
          <w:i/>
          <w:iCs/>
          <w:color w:val="4472C4" w:themeColor="accent1"/>
          <w:sz w:val="24"/>
          <w:szCs w:val="24"/>
        </w:rPr>
        <w:t>ma</w:t>
      </w:r>
      <w:r w:rsidR="00850C95" w:rsidRPr="00A71375">
        <w:rPr>
          <w:i/>
          <w:iCs/>
          <w:color w:val="4472C4" w:themeColor="accent1"/>
          <w:sz w:val="24"/>
          <w:szCs w:val="24"/>
        </w:rPr>
        <w:t>tion will be c</w:t>
      </w:r>
      <w:r w:rsidR="005F7FC3" w:rsidRPr="00A71375">
        <w:rPr>
          <w:i/>
          <w:iCs/>
          <w:color w:val="4472C4" w:themeColor="accent1"/>
          <w:sz w:val="24"/>
          <w:szCs w:val="24"/>
        </w:rPr>
        <w:t>aptured</w:t>
      </w:r>
      <w:r w:rsidR="001D5B86" w:rsidRPr="00A71375">
        <w:rPr>
          <w:i/>
          <w:iCs/>
          <w:color w:val="4472C4" w:themeColor="accent1"/>
          <w:sz w:val="24"/>
          <w:szCs w:val="24"/>
        </w:rPr>
        <w:t>,</w:t>
      </w:r>
      <w:r w:rsidR="00850C95" w:rsidRPr="00A71375">
        <w:rPr>
          <w:i/>
          <w:iCs/>
          <w:color w:val="4472C4" w:themeColor="accent1"/>
          <w:sz w:val="24"/>
          <w:szCs w:val="24"/>
        </w:rPr>
        <w:t xml:space="preserve"> where the information will be collected</w:t>
      </w:r>
      <w:r w:rsidR="001D5B86" w:rsidRPr="00A71375">
        <w:rPr>
          <w:i/>
          <w:iCs/>
          <w:color w:val="4472C4" w:themeColor="accent1"/>
          <w:sz w:val="24"/>
          <w:szCs w:val="24"/>
        </w:rPr>
        <w:t xml:space="preserve"> from</w:t>
      </w:r>
      <w:r w:rsidR="00F51BD2" w:rsidRPr="00A71375">
        <w:rPr>
          <w:i/>
          <w:iCs/>
          <w:color w:val="4472C4" w:themeColor="accent1"/>
          <w:sz w:val="24"/>
          <w:szCs w:val="24"/>
        </w:rPr>
        <w:t xml:space="preserve"> (</w:t>
      </w:r>
      <w:r w:rsidR="001637AC" w:rsidRPr="00A71375">
        <w:rPr>
          <w:i/>
          <w:iCs/>
          <w:color w:val="4472C4" w:themeColor="accent1"/>
          <w:sz w:val="24"/>
          <w:szCs w:val="24"/>
        </w:rPr>
        <w:t>e.g.,</w:t>
      </w:r>
      <w:r w:rsidR="00F51BD2" w:rsidRPr="00A71375">
        <w:rPr>
          <w:i/>
          <w:iCs/>
          <w:color w:val="4472C4" w:themeColor="accent1"/>
          <w:sz w:val="24"/>
          <w:szCs w:val="24"/>
        </w:rPr>
        <w:t xml:space="preserve"> medical records, self-reported)</w:t>
      </w:r>
      <w:r w:rsidR="00850C95" w:rsidRPr="00A71375">
        <w:rPr>
          <w:i/>
          <w:iCs/>
          <w:color w:val="4472C4" w:themeColor="accent1"/>
          <w:sz w:val="24"/>
          <w:szCs w:val="24"/>
        </w:rPr>
        <w:t xml:space="preserve">, </w:t>
      </w:r>
      <w:r w:rsidR="001637AC" w:rsidRPr="00A71375">
        <w:rPr>
          <w:i/>
          <w:iCs/>
          <w:color w:val="4472C4" w:themeColor="accent1"/>
          <w:sz w:val="24"/>
          <w:szCs w:val="24"/>
        </w:rPr>
        <w:t xml:space="preserve">and </w:t>
      </w:r>
      <w:r w:rsidR="00BF69D6" w:rsidRPr="00A71375">
        <w:rPr>
          <w:i/>
          <w:iCs/>
          <w:color w:val="4472C4" w:themeColor="accent1"/>
          <w:sz w:val="24"/>
          <w:szCs w:val="24"/>
        </w:rPr>
        <w:t xml:space="preserve">what </w:t>
      </w:r>
      <w:r w:rsidR="00AF40C2" w:rsidRPr="00A71375">
        <w:rPr>
          <w:i/>
          <w:iCs/>
          <w:color w:val="4472C4" w:themeColor="accent1"/>
          <w:sz w:val="24"/>
          <w:szCs w:val="24"/>
        </w:rPr>
        <w:t xml:space="preserve">study </w:t>
      </w:r>
      <w:r w:rsidR="00BF69D6" w:rsidRPr="00A71375">
        <w:rPr>
          <w:i/>
          <w:iCs/>
          <w:color w:val="4472C4" w:themeColor="accent1"/>
          <w:sz w:val="24"/>
          <w:szCs w:val="24"/>
        </w:rPr>
        <w:t>form</w:t>
      </w:r>
      <w:r w:rsidR="00AF40C2" w:rsidRPr="00A71375">
        <w:rPr>
          <w:i/>
          <w:iCs/>
          <w:color w:val="4472C4" w:themeColor="accent1"/>
          <w:sz w:val="24"/>
          <w:szCs w:val="24"/>
        </w:rPr>
        <w:t>(</w:t>
      </w:r>
      <w:r w:rsidR="00BF69D6" w:rsidRPr="00A71375">
        <w:rPr>
          <w:i/>
          <w:iCs/>
          <w:color w:val="4472C4" w:themeColor="accent1"/>
          <w:sz w:val="24"/>
          <w:szCs w:val="24"/>
        </w:rPr>
        <w:t>s</w:t>
      </w:r>
      <w:r w:rsidR="00AF40C2" w:rsidRPr="00A71375">
        <w:rPr>
          <w:i/>
          <w:iCs/>
          <w:color w:val="4472C4" w:themeColor="accent1"/>
          <w:sz w:val="24"/>
          <w:szCs w:val="24"/>
        </w:rPr>
        <w:t>)</w:t>
      </w:r>
      <w:r w:rsidR="00BF69D6" w:rsidRPr="00A71375">
        <w:rPr>
          <w:i/>
          <w:iCs/>
          <w:color w:val="4472C4" w:themeColor="accent1"/>
          <w:sz w:val="24"/>
          <w:szCs w:val="24"/>
        </w:rPr>
        <w:t xml:space="preserve"> </w:t>
      </w:r>
      <w:r w:rsidR="007275F0" w:rsidRPr="00A71375">
        <w:rPr>
          <w:i/>
          <w:iCs/>
          <w:color w:val="4472C4" w:themeColor="accent1"/>
          <w:sz w:val="24"/>
          <w:szCs w:val="24"/>
        </w:rPr>
        <w:t>will be used to collect the information</w:t>
      </w:r>
      <w:r w:rsidR="00F51BD2" w:rsidRPr="00A71375">
        <w:rPr>
          <w:i/>
          <w:iCs/>
          <w:color w:val="4472C4" w:themeColor="accent1"/>
          <w:sz w:val="24"/>
          <w:szCs w:val="24"/>
        </w:rPr>
        <w:t xml:space="preserve"> (</w:t>
      </w:r>
      <w:r w:rsidR="001637AC" w:rsidRPr="00A71375">
        <w:rPr>
          <w:i/>
          <w:iCs/>
          <w:color w:val="4472C4" w:themeColor="accent1"/>
          <w:sz w:val="24"/>
          <w:szCs w:val="24"/>
        </w:rPr>
        <w:t>e.g.,</w:t>
      </w:r>
      <w:r w:rsidR="00F51BD2" w:rsidRPr="00A71375">
        <w:rPr>
          <w:i/>
          <w:iCs/>
          <w:color w:val="4472C4" w:themeColor="accent1"/>
          <w:sz w:val="24"/>
          <w:szCs w:val="24"/>
        </w:rPr>
        <w:t xml:space="preserve"> case report forms, direct data entry)</w:t>
      </w:r>
      <w:r w:rsidR="007275F0" w:rsidRPr="00A71375">
        <w:rPr>
          <w:i/>
          <w:iCs/>
          <w:color w:val="4472C4" w:themeColor="accent1"/>
          <w:sz w:val="24"/>
          <w:szCs w:val="24"/>
        </w:rPr>
        <w:t xml:space="preserve">. </w:t>
      </w:r>
      <w:bookmarkEnd w:id="21"/>
      <w:r w:rsidR="007275F0" w:rsidRPr="00A71375">
        <w:rPr>
          <w:i/>
          <w:iCs/>
          <w:color w:val="4472C4" w:themeColor="accent1"/>
          <w:sz w:val="24"/>
          <w:szCs w:val="24"/>
        </w:rPr>
        <w:t xml:space="preserve">This section </w:t>
      </w:r>
      <w:r w:rsidR="00CE0FDC" w:rsidRPr="00A71375">
        <w:rPr>
          <w:i/>
          <w:iCs/>
          <w:color w:val="4472C4" w:themeColor="accent1"/>
          <w:sz w:val="24"/>
          <w:szCs w:val="24"/>
        </w:rPr>
        <w:t xml:space="preserve">should </w:t>
      </w:r>
      <w:r w:rsidR="007275F0" w:rsidRPr="00A71375">
        <w:rPr>
          <w:i/>
          <w:iCs/>
          <w:color w:val="4472C4" w:themeColor="accent1"/>
          <w:sz w:val="24"/>
          <w:szCs w:val="24"/>
        </w:rPr>
        <w:t xml:space="preserve">also include what </w:t>
      </w:r>
      <w:r w:rsidR="00D205FC" w:rsidRPr="00A71375">
        <w:rPr>
          <w:i/>
          <w:iCs/>
          <w:color w:val="4472C4" w:themeColor="accent1"/>
          <w:sz w:val="24"/>
          <w:szCs w:val="24"/>
        </w:rPr>
        <w:t>type of information will be collected (</w:t>
      </w:r>
      <w:r w:rsidR="001637AC" w:rsidRPr="00A71375">
        <w:rPr>
          <w:i/>
          <w:iCs/>
          <w:color w:val="4472C4" w:themeColor="accent1"/>
          <w:sz w:val="24"/>
          <w:szCs w:val="24"/>
        </w:rPr>
        <w:t>e.g.,</w:t>
      </w:r>
      <w:r w:rsidR="00D205FC" w:rsidRPr="00A71375">
        <w:rPr>
          <w:i/>
          <w:iCs/>
          <w:color w:val="4472C4" w:themeColor="accent1"/>
          <w:sz w:val="24"/>
          <w:szCs w:val="24"/>
        </w:rPr>
        <w:t xml:space="preserve"> </w:t>
      </w:r>
      <w:r w:rsidR="006F5A22" w:rsidRPr="00A71375">
        <w:rPr>
          <w:i/>
          <w:iCs/>
          <w:color w:val="4472C4" w:themeColor="accent1"/>
          <w:sz w:val="24"/>
          <w:szCs w:val="24"/>
        </w:rPr>
        <w:t xml:space="preserve">event description, time of onset, </w:t>
      </w:r>
      <w:r w:rsidR="00145170" w:rsidRPr="00A71375">
        <w:rPr>
          <w:i/>
          <w:iCs/>
          <w:color w:val="4472C4" w:themeColor="accent1"/>
          <w:sz w:val="24"/>
          <w:szCs w:val="24"/>
        </w:rPr>
        <w:t>assessment of seriousness, relationship</w:t>
      </w:r>
      <w:r w:rsidR="001733AA" w:rsidRPr="00A71375">
        <w:rPr>
          <w:i/>
          <w:iCs/>
          <w:color w:val="4472C4" w:themeColor="accent1"/>
          <w:sz w:val="24"/>
          <w:szCs w:val="24"/>
        </w:rPr>
        <w:t xml:space="preserve"> to</w:t>
      </w:r>
      <w:r w:rsidR="003E5757" w:rsidRPr="00A71375">
        <w:rPr>
          <w:i/>
          <w:iCs/>
          <w:color w:val="4472C4" w:themeColor="accent1"/>
          <w:sz w:val="24"/>
          <w:szCs w:val="24"/>
        </w:rPr>
        <w:t xml:space="preserve"> the study</w:t>
      </w:r>
      <w:r w:rsidR="001733AA" w:rsidRPr="00A71375">
        <w:rPr>
          <w:i/>
          <w:iCs/>
          <w:color w:val="4472C4" w:themeColor="accent1"/>
          <w:sz w:val="24"/>
          <w:szCs w:val="24"/>
        </w:rPr>
        <w:t xml:space="preserve"> intervention, severity</w:t>
      </w:r>
      <w:r w:rsidR="000854A0" w:rsidRPr="00A71375">
        <w:rPr>
          <w:i/>
          <w:iCs/>
          <w:color w:val="4472C4" w:themeColor="accent1"/>
          <w:sz w:val="24"/>
          <w:szCs w:val="24"/>
        </w:rPr>
        <w:t>,</w:t>
      </w:r>
      <w:r w:rsidR="001733AA" w:rsidRPr="00A71375">
        <w:rPr>
          <w:i/>
          <w:iCs/>
          <w:color w:val="4472C4" w:themeColor="accent1"/>
          <w:sz w:val="24"/>
          <w:szCs w:val="24"/>
        </w:rPr>
        <w:t xml:space="preserve"> etc.)</w:t>
      </w:r>
      <w:r w:rsidR="00E60D10">
        <w:rPr>
          <w:i/>
          <w:iCs/>
          <w:color w:val="4472C4" w:themeColor="accent1"/>
          <w:sz w:val="24"/>
          <w:szCs w:val="24"/>
        </w:rPr>
        <w:t>.</w:t>
      </w:r>
      <w:r w:rsidR="000F3B24" w:rsidRPr="00A71375">
        <w:rPr>
          <w:i/>
          <w:iCs/>
          <w:color w:val="4472C4" w:themeColor="accent1"/>
          <w:sz w:val="24"/>
          <w:szCs w:val="24"/>
        </w:rPr>
        <w:t xml:space="preserve"> Note that it is the NIAMS requirement to collect all AEs regardless of </w:t>
      </w:r>
      <w:r w:rsidR="006457A8">
        <w:rPr>
          <w:i/>
          <w:iCs/>
          <w:color w:val="4472C4" w:themeColor="accent1"/>
          <w:sz w:val="24"/>
          <w:szCs w:val="24"/>
        </w:rPr>
        <w:t xml:space="preserve">the </w:t>
      </w:r>
      <w:r w:rsidR="000F3B24" w:rsidRPr="00A71375">
        <w:rPr>
          <w:i/>
          <w:iCs/>
          <w:color w:val="4472C4" w:themeColor="accent1"/>
          <w:sz w:val="24"/>
          <w:szCs w:val="24"/>
        </w:rPr>
        <w:t>expectedness</w:t>
      </w:r>
      <w:r w:rsidR="00033516">
        <w:rPr>
          <w:i/>
          <w:iCs/>
          <w:color w:val="4472C4" w:themeColor="accent1"/>
          <w:sz w:val="24"/>
          <w:szCs w:val="24"/>
        </w:rPr>
        <w:t xml:space="preserve"> </w:t>
      </w:r>
      <w:r w:rsidR="00424B69">
        <w:rPr>
          <w:i/>
          <w:iCs/>
          <w:color w:val="4472C4" w:themeColor="accent1"/>
          <w:sz w:val="24"/>
          <w:szCs w:val="24"/>
        </w:rPr>
        <w:t>or</w:t>
      </w:r>
      <w:r w:rsidR="00033516">
        <w:rPr>
          <w:i/>
          <w:iCs/>
          <w:color w:val="4472C4" w:themeColor="accent1"/>
          <w:sz w:val="24"/>
          <w:szCs w:val="24"/>
        </w:rPr>
        <w:t xml:space="preserve"> </w:t>
      </w:r>
      <w:r w:rsidR="006457A8">
        <w:rPr>
          <w:i/>
          <w:iCs/>
          <w:color w:val="4472C4" w:themeColor="accent1"/>
          <w:sz w:val="24"/>
          <w:szCs w:val="24"/>
        </w:rPr>
        <w:t>relat</w:t>
      </w:r>
      <w:r w:rsidR="00414DD3">
        <w:rPr>
          <w:i/>
          <w:iCs/>
          <w:color w:val="4472C4" w:themeColor="accent1"/>
          <w:sz w:val="24"/>
          <w:szCs w:val="24"/>
        </w:rPr>
        <w:t>edness</w:t>
      </w:r>
      <w:r w:rsidR="001637AC" w:rsidRPr="00A71375">
        <w:rPr>
          <w:i/>
          <w:iCs/>
          <w:color w:val="4472C4" w:themeColor="accent1"/>
          <w:sz w:val="24"/>
          <w:szCs w:val="24"/>
        </w:rPr>
        <w:t>.</w:t>
      </w:r>
    </w:p>
    <w:p w14:paraId="54A17349" w14:textId="7E25CA2A" w:rsidR="00032025" w:rsidRPr="00A71375" w:rsidRDefault="00032025" w:rsidP="00032025">
      <w:pPr>
        <w:spacing w:line="274" w:lineRule="auto"/>
        <w:rPr>
          <w:i/>
          <w:iCs/>
          <w:color w:val="4472C4" w:themeColor="accent1"/>
          <w:sz w:val="24"/>
          <w:szCs w:val="24"/>
        </w:rPr>
      </w:pPr>
      <w:r w:rsidRPr="00A71375">
        <w:rPr>
          <w:i/>
          <w:iCs/>
          <w:color w:val="4472C4" w:themeColor="accent1"/>
          <w:sz w:val="24"/>
          <w:szCs w:val="24"/>
        </w:rPr>
        <w:t>This section should</w:t>
      </w:r>
      <w:r w:rsidRPr="00F111DC">
        <w:rPr>
          <w:i/>
          <w:iCs/>
          <w:color w:val="4472C4" w:themeColor="accent1"/>
          <w:sz w:val="24"/>
          <w:szCs w:val="24"/>
        </w:rPr>
        <w:t xml:space="preserve"> also </w:t>
      </w:r>
      <w:r w:rsidRPr="00A71375">
        <w:rPr>
          <w:i/>
          <w:iCs/>
          <w:color w:val="4472C4" w:themeColor="accent1"/>
          <w:sz w:val="24"/>
          <w:szCs w:val="24"/>
        </w:rPr>
        <w:t xml:space="preserve">describe who is responsible for assessing these events. The individual(s) responsible should have the relevant </w:t>
      </w:r>
      <w:r w:rsidRPr="00A71375">
        <w:rPr>
          <w:i/>
          <w:color w:val="4472C4" w:themeColor="accent1"/>
          <w:sz w:val="24"/>
          <w:szCs w:val="24"/>
        </w:rPr>
        <w:t>clinical expertise to make such an assessment (e.g., physician, nurse practitioner, physician assistant, nurse). When assessing AEs and SAEs, the following</w:t>
      </w:r>
      <w:r w:rsidR="000D4477" w:rsidRPr="00A71375">
        <w:rPr>
          <w:i/>
          <w:color w:val="4472C4" w:themeColor="accent1"/>
          <w:sz w:val="24"/>
          <w:szCs w:val="24"/>
        </w:rPr>
        <w:t xml:space="preserve"> information should be included:</w:t>
      </w:r>
      <w:r w:rsidRPr="00A71375">
        <w:rPr>
          <w:color w:val="4472C4" w:themeColor="accent1"/>
          <w:sz w:val="24"/>
          <w:szCs w:val="24"/>
        </w:rPr>
        <w:t xml:space="preserve"> </w:t>
      </w:r>
    </w:p>
    <w:p w14:paraId="30B32B1E" w14:textId="24D48641" w:rsidR="003E5757" w:rsidRPr="00F111DC" w:rsidRDefault="003E5757" w:rsidP="00976B21">
      <w:pPr>
        <w:pStyle w:val="ListParagraph"/>
        <w:numPr>
          <w:ilvl w:val="0"/>
          <w:numId w:val="31"/>
        </w:numPr>
        <w:rPr>
          <w:i/>
          <w:iCs/>
          <w:color w:val="4472C4" w:themeColor="accent1"/>
        </w:rPr>
      </w:pPr>
      <w:r w:rsidRPr="00F111DC">
        <w:rPr>
          <w:i/>
          <w:iCs/>
          <w:color w:val="4472C4" w:themeColor="accent1"/>
        </w:rPr>
        <w:t>Relationship to study intervention</w:t>
      </w:r>
    </w:p>
    <w:p w14:paraId="6F2E2805" w14:textId="73A23409" w:rsidR="00032025" w:rsidRPr="00F111DC" w:rsidRDefault="00032025" w:rsidP="00976B21">
      <w:pPr>
        <w:pStyle w:val="ListParagraph"/>
        <w:numPr>
          <w:ilvl w:val="2"/>
          <w:numId w:val="2"/>
        </w:numPr>
        <w:rPr>
          <w:i/>
          <w:iCs/>
          <w:color w:val="4472C4" w:themeColor="accent1"/>
        </w:rPr>
      </w:pPr>
      <w:r w:rsidRPr="00F111DC">
        <w:rPr>
          <w:i/>
          <w:iCs/>
          <w:color w:val="4472C4" w:themeColor="accent1"/>
        </w:rPr>
        <w:t xml:space="preserve">Related </w:t>
      </w:r>
    </w:p>
    <w:p w14:paraId="58C22EFE" w14:textId="77777777" w:rsidR="00032025" w:rsidRPr="00F111DC" w:rsidRDefault="00032025" w:rsidP="00976B21">
      <w:pPr>
        <w:pStyle w:val="ListParagraph"/>
        <w:numPr>
          <w:ilvl w:val="3"/>
          <w:numId w:val="28"/>
        </w:numPr>
        <w:rPr>
          <w:i/>
          <w:iCs/>
          <w:color w:val="4472C4" w:themeColor="accent1"/>
        </w:rPr>
      </w:pPr>
      <w:r w:rsidRPr="00F111DC">
        <w:rPr>
          <w:i/>
          <w:iCs/>
          <w:color w:val="4472C4" w:themeColor="accent1"/>
        </w:rPr>
        <w:t>Possibly/Probably (may be related to the intervention)</w:t>
      </w:r>
    </w:p>
    <w:p w14:paraId="2C91A4C2" w14:textId="77777777" w:rsidR="00032025" w:rsidRPr="00F111DC" w:rsidRDefault="00032025" w:rsidP="00976B21">
      <w:pPr>
        <w:pStyle w:val="ListParagraph"/>
        <w:numPr>
          <w:ilvl w:val="3"/>
          <w:numId w:val="28"/>
        </w:numPr>
        <w:rPr>
          <w:i/>
          <w:iCs/>
          <w:color w:val="4472C4" w:themeColor="accent1"/>
        </w:rPr>
      </w:pPr>
      <w:r w:rsidRPr="00F111DC">
        <w:rPr>
          <w:i/>
          <w:iCs/>
          <w:color w:val="4472C4" w:themeColor="accent1"/>
        </w:rPr>
        <w:t>Definitely (clearly related to the intervention)</w:t>
      </w:r>
    </w:p>
    <w:p w14:paraId="6A6A8230" w14:textId="77777777" w:rsidR="00032025" w:rsidRPr="00F111DC" w:rsidRDefault="00032025" w:rsidP="00976B21">
      <w:pPr>
        <w:pStyle w:val="ListParagraph"/>
        <w:numPr>
          <w:ilvl w:val="2"/>
          <w:numId w:val="2"/>
        </w:numPr>
        <w:rPr>
          <w:i/>
          <w:iCs/>
          <w:color w:val="4472C4" w:themeColor="accent1"/>
        </w:rPr>
      </w:pPr>
      <w:r w:rsidRPr="00F111DC">
        <w:rPr>
          <w:i/>
          <w:iCs/>
          <w:color w:val="4472C4" w:themeColor="accent1"/>
        </w:rPr>
        <w:t>Not Related (clearly not related to the intervention)</w:t>
      </w:r>
    </w:p>
    <w:p w14:paraId="131151DE" w14:textId="4B6AF319" w:rsidR="00032025" w:rsidRPr="00F111DC" w:rsidRDefault="00032025" w:rsidP="00976B21">
      <w:pPr>
        <w:pStyle w:val="ListParagraph"/>
        <w:numPr>
          <w:ilvl w:val="0"/>
          <w:numId w:val="2"/>
        </w:numPr>
        <w:rPr>
          <w:i/>
          <w:iCs/>
          <w:color w:val="4472C4" w:themeColor="accent1"/>
        </w:rPr>
      </w:pPr>
      <w:r w:rsidRPr="00F111DC">
        <w:rPr>
          <w:i/>
          <w:iCs/>
          <w:color w:val="4472C4" w:themeColor="accent1"/>
        </w:rPr>
        <w:t>Expectedness</w:t>
      </w:r>
    </w:p>
    <w:p w14:paraId="44C7176B" w14:textId="5117EA93" w:rsidR="00032025" w:rsidRPr="00F111DC" w:rsidRDefault="00032025" w:rsidP="00976B21">
      <w:pPr>
        <w:pStyle w:val="ListParagraph"/>
        <w:numPr>
          <w:ilvl w:val="1"/>
          <w:numId w:val="29"/>
        </w:numPr>
        <w:rPr>
          <w:i/>
          <w:iCs/>
          <w:color w:val="4472C4" w:themeColor="accent1"/>
        </w:rPr>
      </w:pPr>
      <w:r w:rsidRPr="00F111DC">
        <w:rPr>
          <w:i/>
          <w:iCs/>
          <w:color w:val="4472C4" w:themeColor="accent1"/>
        </w:rPr>
        <w:t>Expected</w:t>
      </w:r>
    </w:p>
    <w:p w14:paraId="1D8EDDD9" w14:textId="5B556D3D" w:rsidR="00032025" w:rsidRPr="00F111DC" w:rsidRDefault="00032025" w:rsidP="00976B21">
      <w:pPr>
        <w:pStyle w:val="ListParagraph"/>
        <w:numPr>
          <w:ilvl w:val="1"/>
          <w:numId w:val="29"/>
        </w:numPr>
        <w:rPr>
          <w:i/>
          <w:iCs/>
          <w:color w:val="4472C4" w:themeColor="accent1"/>
        </w:rPr>
      </w:pPr>
      <w:r w:rsidRPr="00F111DC">
        <w:rPr>
          <w:i/>
          <w:iCs/>
          <w:color w:val="4472C4" w:themeColor="accent1"/>
        </w:rPr>
        <w:t>Unexpected</w:t>
      </w:r>
    </w:p>
    <w:p w14:paraId="2E3D8478" w14:textId="3A4B1D3E" w:rsidR="00032025" w:rsidRPr="00F111DC" w:rsidRDefault="00032025" w:rsidP="00976B21">
      <w:pPr>
        <w:pStyle w:val="ListParagraph"/>
        <w:numPr>
          <w:ilvl w:val="1"/>
          <w:numId w:val="2"/>
        </w:numPr>
        <w:rPr>
          <w:i/>
          <w:iCs/>
          <w:color w:val="4472C4" w:themeColor="accent1"/>
        </w:rPr>
      </w:pPr>
      <w:r w:rsidRPr="00F111DC">
        <w:rPr>
          <w:i/>
          <w:iCs/>
          <w:color w:val="4472C4" w:themeColor="accent1"/>
        </w:rPr>
        <w:t>Severity</w:t>
      </w:r>
      <w:r w:rsidR="000D4477" w:rsidRPr="00F111DC">
        <w:rPr>
          <w:i/>
          <w:iCs/>
          <w:color w:val="4472C4" w:themeColor="accent1"/>
        </w:rPr>
        <w:t xml:space="preserve"> (Describe the method of grading an adverse event for severity. Please note that a severe AE and an SAE are distinct terms)</w:t>
      </w:r>
    </w:p>
    <w:p w14:paraId="4E725368" w14:textId="74EB611B" w:rsidR="00032025" w:rsidRPr="00F111DC" w:rsidRDefault="00032025" w:rsidP="00976B21">
      <w:pPr>
        <w:pStyle w:val="ListParagraph"/>
        <w:numPr>
          <w:ilvl w:val="2"/>
          <w:numId w:val="2"/>
        </w:numPr>
        <w:rPr>
          <w:i/>
          <w:iCs/>
          <w:color w:val="4472C4" w:themeColor="accent1"/>
        </w:rPr>
      </w:pPr>
      <w:r w:rsidRPr="00F111DC">
        <w:rPr>
          <w:i/>
          <w:iCs/>
          <w:color w:val="4472C4" w:themeColor="accent1"/>
        </w:rPr>
        <w:t>Mild</w:t>
      </w:r>
    </w:p>
    <w:p w14:paraId="04F938C1" w14:textId="12D7C708" w:rsidR="00032025" w:rsidRPr="00F111DC" w:rsidRDefault="00032025" w:rsidP="00976B21">
      <w:pPr>
        <w:pStyle w:val="ListParagraph"/>
        <w:numPr>
          <w:ilvl w:val="2"/>
          <w:numId w:val="2"/>
        </w:numPr>
        <w:rPr>
          <w:i/>
          <w:iCs/>
          <w:color w:val="4472C4" w:themeColor="accent1"/>
        </w:rPr>
      </w:pPr>
      <w:r w:rsidRPr="00F111DC">
        <w:rPr>
          <w:i/>
          <w:iCs/>
          <w:color w:val="4472C4" w:themeColor="accent1"/>
        </w:rPr>
        <w:t>Moderate</w:t>
      </w:r>
    </w:p>
    <w:p w14:paraId="5F2B878E" w14:textId="6EADAC3C" w:rsidR="00386435" w:rsidRPr="00F111DC" w:rsidRDefault="00032025" w:rsidP="00976B21">
      <w:pPr>
        <w:pStyle w:val="ListParagraph"/>
        <w:numPr>
          <w:ilvl w:val="2"/>
          <w:numId w:val="2"/>
        </w:numPr>
        <w:rPr>
          <w:i/>
          <w:iCs/>
          <w:color w:val="4472C4" w:themeColor="accent1"/>
        </w:rPr>
      </w:pPr>
      <w:r w:rsidRPr="00F111DC">
        <w:rPr>
          <w:i/>
          <w:iCs/>
          <w:color w:val="4472C4" w:themeColor="accent1"/>
        </w:rPr>
        <w:t>Severe}</w:t>
      </w:r>
    </w:p>
    <w:p w14:paraId="4C8E8C82" w14:textId="2017DCB8" w:rsidR="00DA212E" w:rsidRPr="00A71375" w:rsidRDefault="00DA212E" w:rsidP="00F111DC">
      <w:pPr>
        <w:pStyle w:val="BodyTextSample"/>
      </w:pPr>
      <w:r w:rsidRPr="00A71375">
        <w:t>{Begin sample text}</w:t>
      </w:r>
    </w:p>
    <w:p w14:paraId="433A083A" w14:textId="2DEEC34E" w:rsidR="00F76E63" w:rsidRPr="00A71375" w:rsidRDefault="0096750E" w:rsidP="000D4477">
      <w:pPr>
        <w:spacing w:line="274" w:lineRule="auto"/>
        <w:rPr>
          <w:sz w:val="24"/>
          <w:szCs w:val="24"/>
        </w:rPr>
      </w:pPr>
      <w:r w:rsidRPr="00A71375">
        <w:rPr>
          <w:sz w:val="24"/>
          <w:szCs w:val="24"/>
        </w:rPr>
        <w:t xml:space="preserve">All AEs </w:t>
      </w:r>
      <w:r w:rsidR="00F51BD2" w:rsidRPr="00A71375">
        <w:rPr>
          <w:sz w:val="24"/>
          <w:szCs w:val="24"/>
        </w:rPr>
        <w:t xml:space="preserve">will be collected from the date </w:t>
      </w:r>
      <w:r w:rsidR="001C36FA" w:rsidRPr="00A71375">
        <w:rPr>
          <w:sz w:val="24"/>
          <w:szCs w:val="24"/>
        </w:rPr>
        <w:t xml:space="preserve">the </w:t>
      </w:r>
      <w:r w:rsidR="00F51BD2" w:rsidRPr="00A71375">
        <w:rPr>
          <w:sz w:val="24"/>
          <w:szCs w:val="24"/>
        </w:rPr>
        <w:t xml:space="preserve">informed consent form </w:t>
      </w:r>
      <w:r w:rsidR="001C36FA" w:rsidRPr="00A71375">
        <w:rPr>
          <w:sz w:val="24"/>
          <w:szCs w:val="24"/>
        </w:rPr>
        <w:t xml:space="preserve">is signed </w:t>
      </w:r>
      <w:r w:rsidR="00F51BD2" w:rsidRPr="00A71375">
        <w:rPr>
          <w:sz w:val="24"/>
          <w:szCs w:val="24"/>
        </w:rPr>
        <w:t>until the</w:t>
      </w:r>
      <w:r w:rsidR="007E474A" w:rsidRPr="00A71375">
        <w:rPr>
          <w:sz w:val="24"/>
          <w:szCs w:val="24"/>
        </w:rPr>
        <w:t xml:space="preserve"> </w:t>
      </w:r>
      <w:r w:rsidR="00F51BD2" w:rsidRPr="00A71375">
        <w:rPr>
          <w:sz w:val="24"/>
          <w:szCs w:val="24"/>
        </w:rPr>
        <w:t xml:space="preserve">final study visit. </w:t>
      </w:r>
      <w:r w:rsidR="00FA0C29" w:rsidRPr="00A71375">
        <w:rPr>
          <w:sz w:val="24"/>
          <w:szCs w:val="24"/>
        </w:rPr>
        <w:t xml:space="preserve">For events that occur </w:t>
      </w:r>
      <w:r w:rsidR="00F51BD2" w:rsidRPr="00A71375">
        <w:rPr>
          <w:sz w:val="24"/>
          <w:szCs w:val="24"/>
        </w:rPr>
        <w:t>between visits</w:t>
      </w:r>
      <w:r w:rsidR="00FA0C29" w:rsidRPr="00A71375">
        <w:rPr>
          <w:sz w:val="24"/>
          <w:szCs w:val="24"/>
        </w:rPr>
        <w:t>,</w:t>
      </w:r>
      <w:r w:rsidR="00F51BD2" w:rsidRPr="00A71375">
        <w:rPr>
          <w:sz w:val="24"/>
          <w:szCs w:val="24"/>
        </w:rPr>
        <w:t xml:space="preserve"> participants are queried on a routine basis about every two weeks post-randomization through their final study visit. </w:t>
      </w:r>
    </w:p>
    <w:p w14:paraId="71A7FFA9" w14:textId="3C0136C5" w:rsidR="00F76E63" w:rsidRPr="00A71375" w:rsidRDefault="00F51BD2" w:rsidP="009B79EF">
      <w:pPr>
        <w:spacing w:line="274" w:lineRule="auto"/>
        <w:rPr>
          <w:sz w:val="24"/>
          <w:szCs w:val="24"/>
        </w:rPr>
      </w:pPr>
      <w:r w:rsidRPr="00A71375">
        <w:rPr>
          <w:sz w:val="24"/>
          <w:szCs w:val="24"/>
        </w:rPr>
        <w:t xml:space="preserve">AEs </w:t>
      </w:r>
      <w:r w:rsidR="0096750E" w:rsidRPr="00A71375">
        <w:rPr>
          <w:sz w:val="24"/>
          <w:szCs w:val="24"/>
        </w:rPr>
        <w:t>will be captured on the appropriate case report form. Information to be collected includes event description</w:t>
      </w:r>
      <w:r w:rsidR="00A43576" w:rsidRPr="00A71375">
        <w:rPr>
          <w:sz w:val="24"/>
          <w:szCs w:val="24"/>
        </w:rPr>
        <w:t>;</w:t>
      </w:r>
      <w:r w:rsidR="0096750E" w:rsidRPr="00A71375">
        <w:rPr>
          <w:sz w:val="24"/>
          <w:szCs w:val="24"/>
        </w:rPr>
        <w:t xml:space="preserve"> time of onset</w:t>
      </w:r>
      <w:r w:rsidR="00A43576" w:rsidRPr="00A71375">
        <w:rPr>
          <w:sz w:val="24"/>
          <w:szCs w:val="24"/>
        </w:rPr>
        <w:t>;</w:t>
      </w:r>
      <w:r w:rsidR="00BA0DBF" w:rsidRPr="00A71375">
        <w:rPr>
          <w:sz w:val="24"/>
          <w:szCs w:val="24"/>
        </w:rPr>
        <w:t xml:space="preserve"> </w:t>
      </w:r>
      <w:r w:rsidR="0096750E" w:rsidRPr="00A71375">
        <w:rPr>
          <w:sz w:val="24"/>
          <w:szCs w:val="24"/>
        </w:rPr>
        <w:t>assessment of seriousness, severity, relationship to study procedures or interventions,</w:t>
      </w:r>
      <w:r w:rsidRPr="00A71375">
        <w:rPr>
          <w:sz w:val="24"/>
          <w:szCs w:val="24"/>
        </w:rPr>
        <w:t xml:space="preserve"> </w:t>
      </w:r>
      <w:r w:rsidR="00A43576" w:rsidRPr="00A71375">
        <w:rPr>
          <w:sz w:val="24"/>
          <w:szCs w:val="24"/>
        </w:rPr>
        <w:t xml:space="preserve">and </w:t>
      </w:r>
      <w:r w:rsidR="0096750E" w:rsidRPr="00A71375">
        <w:rPr>
          <w:sz w:val="24"/>
          <w:szCs w:val="24"/>
        </w:rPr>
        <w:t>expectedness</w:t>
      </w:r>
      <w:r w:rsidR="00A43576" w:rsidRPr="00A71375">
        <w:rPr>
          <w:sz w:val="24"/>
          <w:szCs w:val="24"/>
        </w:rPr>
        <w:t>;</w:t>
      </w:r>
      <w:r w:rsidR="0096750E" w:rsidRPr="00A71375">
        <w:rPr>
          <w:sz w:val="24"/>
          <w:szCs w:val="24"/>
        </w:rPr>
        <w:t xml:space="preserve"> medical care received</w:t>
      </w:r>
      <w:r w:rsidR="00A43576" w:rsidRPr="00A71375">
        <w:rPr>
          <w:sz w:val="24"/>
          <w:szCs w:val="24"/>
        </w:rPr>
        <w:t>;</w:t>
      </w:r>
      <w:r w:rsidR="0096750E" w:rsidRPr="00A71375">
        <w:rPr>
          <w:sz w:val="24"/>
          <w:szCs w:val="24"/>
        </w:rPr>
        <w:t xml:space="preserve"> outcome of event</w:t>
      </w:r>
      <w:r w:rsidR="00A43576" w:rsidRPr="00A71375">
        <w:rPr>
          <w:sz w:val="24"/>
          <w:szCs w:val="24"/>
        </w:rPr>
        <w:t>;</w:t>
      </w:r>
      <w:r w:rsidR="0096750E" w:rsidRPr="00A71375">
        <w:rPr>
          <w:sz w:val="24"/>
          <w:szCs w:val="24"/>
        </w:rPr>
        <w:t xml:space="preserve"> and time of resolution/stabilization of</w:t>
      </w:r>
      <w:r w:rsidR="00BA0DBF" w:rsidRPr="00A71375">
        <w:rPr>
          <w:sz w:val="24"/>
          <w:szCs w:val="24"/>
        </w:rPr>
        <w:t xml:space="preserve"> </w:t>
      </w:r>
      <w:r w:rsidR="0096750E" w:rsidRPr="00A71375">
        <w:rPr>
          <w:sz w:val="24"/>
          <w:szCs w:val="24"/>
        </w:rPr>
        <w:t xml:space="preserve">the event. </w:t>
      </w:r>
    </w:p>
    <w:p w14:paraId="49D22590" w14:textId="6E31EF86" w:rsidR="00F76E63" w:rsidRPr="00A71375" w:rsidRDefault="0096750E" w:rsidP="00750648">
      <w:pPr>
        <w:spacing w:line="274" w:lineRule="auto"/>
        <w:rPr>
          <w:sz w:val="24"/>
          <w:szCs w:val="24"/>
        </w:rPr>
      </w:pPr>
      <w:r w:rsidRPr="00A71375">
        <w:rPr>
          <w:sz w:val="24"/>
          <w:szCs w:val="24"/>
        </w:rPr>
        <w:t xml:space="preserve">All AEs occurring while on study </w:t>
      </w:r>
      <w:r w:rsidR="00F76E63" w:rsidRPr="00A71375">
        <w:rPr>
          <w:sz w:val="24"/>
          <w:szCs w:val="24"/>
        </w:rPr>
        <w:t>are</w:t>
      </w:r>
      <w:r w:rsidRPr="00A71375">
        <w:rPr>
          <w:sz w:val="24"/>
          <w:szCs w:val="24"/>
        </w:rPr>
        <w:t xml:space="preserve"> documented appropriately regardless of</w:t>
      </w:r>
      <w:r w:rsidR="00BA0DBF" w:rsidRPr="00A71375">
        <w:rPr>
          <w:sz w:val="24"/>
          <w:szCs w:val="24"/>
        </w:rPr>
        <w:t xml:space="preserve"> </w:t>
      </w:r>
      <w:r w:rsidRPr="00A71375">
        <w:rPr>
          <w:sz w:val="24"/>
          <w:szCs w:val="24"/>
        </w:rPr>
        <w:t>relationship. All AEs</w:t>
      </w:r>
      <w:r w:rsidR="00F76E63" w:rsidRPr="00A71375">
        <w:rPr>
          <w:sz w:val="24"/>
          <w:szCs w:val="24"/>
        </w:rPr>
        <w:t>/</w:t>
      </w:r>
      <w:r w:rsidRPr="00A71375">
        <w:rPr>
          <w:sz w:val="24"/>
          <w:szCs w:val="24"/>
        </w:rPr>
        <w:t>SAEs will be followed until satisfactory resolution or</w:t>
      </w:r>
      <w:r w:rsidR="00BA0DBF" w:rsidRPr="00A71375">
        <w:rPr>
          <w:sz w:val="24"/>
          <w:szCs w:val="24"/>
        </w:rPr>
        <w:t xml:space="preserve"> </w:t>
      </w:r>
      <w:r w:rsidRPr="00A71375">
        <w:rPr>
          <w:sz w:val="24"/>
          <w:szCs w:val="24"/>
        </w:rPr>
        <w:t>the participant is stable</w:t>
      </w:r>
      <w:r w:rsidR="00BA0DBF" w:rsidRPr="00A71375">
        <w:rPr>
          <w:sz w:val="24"/>
          <w:szCs w:val="24"/>
        </w:rPr>
        <w:t>.</w:t>
      </w:r>
      <w:r w:rsidR="00F76E63" w:rsidRPr="00A71375">
        <w:rPr>
          <w:sz w:val="24"/>
          <w:szCs w:val="24"/>
        </w:rPr>
        <w:t xml:space="preserve"> </w:t>
      </w:r>
    </w:p>
    <w:p w14:paraId="027BAFAF" w14:textId="11D37AC6" w:rsidR="00032025" w:rsidRPr="00A71375" w:rsidRDefault="00032025" w:rsidP="00032025">
      <w:pPr>
        <w:spacing w:line="274" w:lineRule="auto"/>
        <w:rPr>
          <w:sz w:val="24"/>
          <w:szCs w:val="24"/>
        </w:rPr>
      </w:pPr>
      <w:r w:rsidRPr="00A71375">
        <w:rPr>
          <w:sz w:val="24"/>
          <w:szCs w:val="24"/>
        </w:rPr>
        <w:lastRenderedPageBreak/>
        <w:t xml:space="preserve">All AEs will be assessed by the investigator for severity, expectedness, and relationship to the intervention using the protocol-specified definitions. </w:t>
      </w:r>
    </w:p>
    <w:p w14:paraId="22C0F653" w14:textId="73F06DD4" w:rsidR="00672D84" w:rsidRPr="00A71375" w:rsidRDefault="00DA212E" w:rsidP="00F111DC">
      <w:pPr>
        <w:pStyle w:val="BodyTextSample"/>
      </w:pPr>
      <w:r w:rsidRPr="00A71375">
        <w:t>{End sample text}</w:t>
      </w:r>
    </w:p>
    <w:p w14:paraId="1377C7D2" w14:textId="2FD0164E" w:rsidR="00672D84" w:rsidRPr="00A71375" w:rsidRDefault="00672D84" w:rsidP="00A44F70">
      <w:pPr>
        <w:pStyle w:val="Heading2"/>
        <w:rPr>
          <w:i/>
          <w:iCs/>
        </w:rPr>
      </w:pPr>
      <w:bookmarkStart w:id="22" w:name="_Toc50553249"/>
      <w:r w:rsidRPr="00A71375">
        <w:t>3.</w:t>
      </w:r>
      <w:r w:rsidR="00032025" w:rsidRPr="00A71375">
        <w:t>3</w:t>
      </w:r>
      <w:r w:rsidRPr="00A71375">
        <w:t xml:space="preserve"> Reporting of AEs, SAEs</w:t>
      </w:r>
      <w:r w:rsidR="0052242A" w:rsidRPr="00A71375">
        <w:t>,</w:t>
      </w:r>
      <w:r w:rsidRPr="00A71375">
        <w:t xml:space="preserve"> UPs</w:t>
      </w:r>
      <w:r w:rsidR="00CA47E3" w:rsidRPr="00A71375">
        <w:t>,</w:t>
      </w:r>
      <w:r w:rsidR="0052242A" w:rsidRPr="00A71375">
        <w:t xml:space="preserve"> Protocol Deviations</w:t>
      </w:r>
      <w:r w:rsidR="0072755C">
        <w:t>, Serious or Continuing Noncompliance, and Suspension or Termination of IRB Approval</w:t>
      </w:r>
      <w:bookmarkEnd w:id="22"/>
    </w:p>
    <w:p w14:paraId="349072DB" w14:textId="1CD22A56" w:rsidR="00FA0C29" w:rsidRPr="00A71375" w:rsidRDefault="00DA212E" w:rsidP="00426B86">
      <w:pPr>
        <w:spacing w:line="274" w:lineRule="auto"/>
        <w:rPr>
          <w:i/>
          <w:iCs/>
          <w:color w:val="4472C4" w:themeColor="accent1"/>
          <w:sz w:val="24"/>
          <w:szCs w:val="24"/>
        </w:rPr>
      </w:pPr>
      <w:r w:rsidRPr="00A71375">
        <w:rPr>
          <w:rFonts w:eastAsia="Arial"/>
          <w:i/>
          <w:iCs/>
          <w:color w:val="4472C4" w:themeColor="accent1"/>
          <w:sz w:val="24"/>
          <w:szCs w:val="24"/>
        </w:rPr>
        <w:t>{</w:t>
      </w:r>
      <w:r w:rsidR="00881B4E" w:rsidRPr="00A71375">
        <w:rPr>
          <w:rFonts w:eastAsia="Arial"/>
          <w:i/>
          <w:iCs/>
          <w:color w:val="4472C4" w:themeColor="accent1"/>
          <w:sz w:val="24"/>
          <w:szCs w:val="24"/>
        </w:rPr>
        <w:t>This section should describe who is responsible for reporting these events and the roles and responsibilities of each person on the clinical study team who is involved in the safety reporting</w:t>
      </w:r>
      <w:r w:rsidR="00B425E9" w:rsidRPr="00A71375">
        <w:rPr>
          <w:rFonts w:eastAsia="Arial"/>
          <w:i/>
          <w:iCs/>
          <w:color w:val="4472C4" w:themeColor="accent1"/>
          <w:sz w:val="24"/>
          <w:szCs w:val="24"/>
        </w:rPr>
        <w:t xml:space="preserve"> to the IRB, FDA (if applicable), Monitoring Body</w:t>
      </w:r>
      <w:r w:rsidR="00A43576" w:rsidRPr="00A71375">
        <w:rPr>
          <w:rFonts w:eastAsia="Arial"/>
          <w:i/>
          <w:iCs/>
          <w:color w:val="4472C4" w:themeColor="accent1"/>
          <w:sz w:val="24"/>
          <w:szCs w:val="24"/>
        </w:rPr>
        <w:t>,</w:t>
      </w:r>
      <w:r w:rsidR="00B425E9" w:rsidRPr="00A71375">
        <w:rPr>
          <w:rFonts w:eastAsia="Arial"/>
          <w:i/>
          <w:iCs/>
          <w:color w:val="4472C4" w:themeColor="accent1"/>
          <w:sz w:val="24"/>
          <w:szCs w:val="24"/>
        </w:rPr>
        <w:t xml:space="preserve"> and NIAMS (through </w:t>
      </w:r>
      <w:r w:rsidR="001C0EA2">
        <w:rPr>
          <w:rFonts w:eastAsia="Arial"/>
          <w:i/>
          <w:iCs/>
          <w:color w:val="4472C4" w:themeColor="accent1"/>
          <w:sz w:val="24"/>
          <w:szCs w:val="24"/>
        </w:rPr>
        <w:t xml:space="preserve">the </w:t>
      </w:r>
      <w:r w:rsidR="00B425E9" w:rsidRPr="00A71375">
        <w:rPr>
          <w:rFonts w:eastAsia="Arial"/>
          <w:i/>
          <w:iCs/>
          <w:color w:val="4472C4" w:themeColor="accent1"/>
          <w:sz w:val="24"/>
          <w:szCs w:val="24"/>
        </w:rPr>
        <w:t>NIAMS Executive Secretary)</w:t>
      </w:r>
      <w:r w:rsidR="00881B4E" w:rsidRPr="00A71375">
        <w:rPr>
          <w:rFonts w:eastAsia="Arial"/>
          <w:i/>
          <w:iCs/>
          <w:color w:val="4472C4" w:themeColor="accent1"/>
          <w:sz w:val="24"/>
          <w:szCs w:val="24"/>
        </w:rPr>
        <w:t>.</w:t>
      </w:r>
      <w:r w:rsidR="005009A6" w:rsidRPr="00A71375">
        <w:rPr>
          <w:rFonts w:eastAsia="Arial"/>
          <w:i/>
          <w:iCs/>
          <w:color w:val="4472C4" w:themeColor="accent1"/>
          <w:sz w:val="24"/>
          <w:szCs w:val="24"/>
        </w:rPr>
        <w:t xml:space="preserve"> </w:t>
      </w:r>
      <w:r w:rsidR="005009A6" w:rsidRPr="00A71375">
        <w:rPr>
          <w:i/>
          <w:iCs/>
          <w:color w:val="4472C4" w:themeColor="accent1"/>
          <w:sz w:val="24"/>
          <w:szCs w:val="24"/>
        </w:rPr>
        <w:t xml:space="preserve">It should also include the </w:t>
      </w:r>
      <w:hyperlink r:id="rId15" w:history="1">
        <w:r w:rsidR="005009A6" w:rsidRPr="00A71375">
          <w:rPr>
            <w:rStyle w:val="Hyperlink"/>
            <w:i/>
            <w:iCs/>
            <w:sz w:val="24"/>
            <w:szCs w:val="24"/>
          </w:rPr>
          <w:t>Office for Human Research Protections (OHRP)</w:t>
        </w:r>
      </w:hyperlink>
      <w:r w:rsidR="00B425E9" w:rsidRPr="00A71375">
        <w:rPr>
          <w:i/>
          <w:iCs/>
          <w:color w:val="4472C4" w:themeColor="accent1"/>
          <w:sz w:val="24"/>
          <w:szCs w:val="24"/>
        </w:rPr>
        <w:t xml:space="preserve"> and </w:t>
      </w:r>
      <w:hyperlink r:id="rId16" w:history="1">
        <w:r w:rsidR="00B425E9" w:rsidRPr="00A71375">
          <w:rPr>
            <w:rStyle w:val="Hyperlink"/>
            <w:i/>
            <w:iCs/>
            <w:sz w:val="24"/>
            <w:szCs w:val="24"/>
          </w:rPr>
          <w:t>FDA</w:t>
        </w:r>
      </w:hyperlink>
      <w:r w:rsidR="005009A6" w:rsidRPr="00A71375">
        <w:rPr>
          <w:i/>
          <w:iCs/>
          <w:color w:val="4472C4" w:themeColor="accent1"/>
          <w:sz w:val="24"/>
          <w:szCs w:val="24"/>
        </w:rPr>
        <w:t xml:space="preserve"> reporting requirements</w:t>
      </w:r>
      <w:r w:rsidR="002737F4" w:rsidRPr="00A71375">
        <w:rPr>
          <w:i/>
          <w:iCs/>
          <w:color w:val="4472C4" w:themeColor="accent1"/>
          <w:sz w:val="24"/>
          <w:szCs w:val="24"/>
        </w:rPr>
        <w:t>.</w:t>
      </w:r>
      <w:r w:rsidR="00270B5F" w:rsidRPr="00A71375">
        <w:rPr>
          <w:i/>
          <w:iCs/>
          <w:color w:val="4472C4" w:themeColor="accent1"/>
          <w:sz w:val="24"/>
          <w:szCs w:val="24"/>
        </w:rPr>
        <w:t xml:space="preserve"> </w:t>
      </w:r>
      <w:r w:rsidR="00426B86" w:rsidRPr="00A71375">
        <w:rPr>
          <w:i/>
          <w:iCs/>
          <w:color w:val="4472C4" w:themeColor="accent1"/>
          <w:sz w:val="24"/>
          <w:szCs w:val="24"/>
        </w:rPr>
        <w:t xml:space="preserve">See </w:t>
      </w:r>
      <w:hyperlink r:id="rId17" w:history="1">
        <w:r w:rsidR="00426B86" w:rsidRPr="008662E3">
          <w:rPr>
            <w:rStyle w:val="Hyperlink"/>
            <w:i/>
            <w:iCs/>
            <w:sz w:val="24"/>
            <w:szCs w:val="24"/>
          </w:rPr>
          <w:t xml:space="preserve">NIAMS </w:t>
        </w:r>
        <w:r w:rsidR="00256AF5" w:rsidRPr="008662E3">
          <w:rPr>
            <w:rStyle w:val="Hyperlink"/>
            <w:i/>
            <w:iCs/>
            <w:sz w:val="24"/>
            <w:szCs w:val="24"/>
          </w:rPr>
          <w:t>Reportable Events</w:t>
        </w:r>
        <w:r w:rsidR="00426B86" w:rsidRPr="008662E3">
          <w:rPr>
            <w:rStyle w:val="Hyperlink"/>
            <w:i/>
            <w:iCs/>
            <w:sz w:val="24"/>
            <w:szCs w:val="24"/>
          </w:rPr>
          <w:t xml:space="preserve"> Requirements and Guidelines</w:t>
        </w:r>
      </w:hyperlink>
      <w:r w:rsidR="00426B86" w:rsidRPr="00A71375">
        <w:rPr>
          <w:i/>
          <w:iCs/>
          <w:color w:val="4472C4" w:themeColor="accent1"/>
          <w:sz w:val="24"/>
          <w:szCs w:val="24"/>
        </w:rPr>
        <w:t xml:space="preserve"> for more details.</w:t>
      </w:r>
    </w:p>
    <w:p w14:paraId="4FD0B726" w14:textId="696F3378" w:rsidR="00426B86" w:rsidRPr="00A71375" w:rsidRDefault="00FA0C29" w:rsidP="00426B86">
      <w:pPr>
        <w:spacing w:line="274" w:lineRule="auto"/>
        <w:rPr>
          <w:color w:val="4472C4" w:themeColor="accent1"/>
          <w:sz w:val="24"/>
          <w:szCs w:val="24"/>
        </w:rPr>
      </w:pPr>
      <w:commentRangeStart w:id="23"/>
      <w:r w:rsidRPr="00A71375">
        <w:rPr>
          <w:i/>
          <w:iCs/>
          <w:color w:val="4472C4" w:themeColor="accent1"/>
          <w:sz w:val="24"/>
          <w:szCs w:val="24"/>
        </w:rPr>
        <w:t>The NIAMS SAE Report Form template can be accessed here: XX</w:t>
      </w:r>
      <w:r w:rsidR="00DA212E" w:rsidRPr="00A71375">
        <w:rPr>
          <w:i/>
          <w:iCs/>
          <w:color w:val="4472C4" w:themeColor="accent1"/>
          <w:sz w:val="24"/>
          <w:szCs w:val="24"/>
        </w:rPr>
        <w:t>}</w:t>
      </w:r>
      <w:commentRangeEnd w:id="23"/>
      <w:r w:rsidR="006F42C8">
        <w:rPr>
          <w:rStyle w:val="CommentReference"/>
        </w:rPr>
        <w:commentReference w:id="23"/>
      </w:r>
    </w:p>
    <w:p w14:paraId="48396FEA" w14:textId="1C2465B9" w:rsidR="00B425E9" w:rsidRPr="00A71375" w:rsidRDefault="00B425E9" w:rsidP="00976B21">
      <w:pPr>
        <w:pStyle w:val="Heading3"/>
      </w:pPr>
      <w:bookmarkStart w:id="24" w:name="_Toc50553250"/>
      <w:r w:rsidRPr="00A71375">
        <w:t>3.</w:t>
      </w:r>
      <w:r w:rsidR="00032025" w:rsidRPr="00A71375">
        <w:t>3</w:t>
      </w:r>
      <w:r w:rsidRPr="00A71375">
        <w:t>.1 AE Reporting Procedures</w:t>
      </w:r>
      <w:bookmarkEnd w:id="24"/>
    </w:p>
    <w:p w14:paraId="3F4FAA9F" w14:textId="66B4FB13" w:rsidR="00B425E9" w:rsidRPr="00A71375" w:rsidRDefault="00DA212E" w:rsidP="00DC6F94">
      <w:pPr>
        <w:spacing w:line="274" w:lineRule="auto"/>
        <w:rPr>
          <w:i/>
          <w:iCs/>
          <w:color w:val="4472C4" w:themeColor="accent1"/>
          <w:sz w:val="24"/>
          <w:szCs w:val="24"/>
        </w:rPr>
      </w:pPr>
      <w:r w:rsidRPr="00A71375">
        <w:rPr>
          <w:i/>
          <w:iCs/>
          <w:color w:val="4472C4" w:themeColor="accent1"/>
          <w:sz w:val="24"/>
          <w:szCs w:val="24"/>
        </w:rPr>
        <w:t>{</w:t>
      </w:r>
      <w:r w:rsidR="000F3B24" w:rsidRPr="00A71375">
        <w:rPr>
          <w:i/>
          <w:iCs/>
          <w:color w:val="4472C4" w:themeColor="accent1"/>
          <w:sz w:val="24"/>
          <w:szCs w:val="24"/>
        </w:rPr>
        <w:t>All n</w:t>
      </w:r>
      <w:r w:rsidR="00B425E9" w:rsidRPr="00A71375">
        <w:rPr>
          <w:i/>
          <w:iCs/>
          <w:color w:val="4472C4" w:themeColor="accent1"/>
          <w:sz w:val="24"/>
          <w:szCs w:val="24"/>
        </w:rPr>
        <w:t xml:space="preserve">on-serious AEs </w:t>
      </w:r>
      <w:r w:rsidR="000F3B24" w:rsidRPr="00A71375">
        <w:rPr>
          <w:i/>
          <w:iCs/>
          <w:color w:val="4472C4" w:themeColor="accent1"/>
          <w:sz w:val="24"/>
          <w:szCs w:val="24"/>
        </w:rPr>
        <w:t xml:space="preserve">(regardless of </w:t>
      </w:r>
      <w:r w:rsidR="00473A57" w:rsidRPr="00A71375">
        <w:rPr>
          <w:i/>
          <w:iCs/>
          <w:color w:val="4472C4" w:themeColor="accent1"/>
          <w:sz w:val="24"/>
          <w:szCs w:val="24"/>
        </w:rPr>
        <w:t xml:space="preserve">expectedness </w:t>
      </w:r>
      <w:r w:rsidR="00473A57">
        <w:rPr>
          <w:i/>
          <w:iCs/>
          <w:color w:val="4472C4" w:themeColor="accent1"/>
          <w:sz w:val="24"/>
          <w:szCs w:val="24"/>
        </w:rPr>
        <w:t xml:space="preserve">or </w:t>
      </w:r>
      <w:r w:rsidR="000F3B24" w:rsidRPr="00A71375">
        <w:rPr>
          <w:i/>
          <w:iCs/>
          <w:color w:val="4472C4" w:themeColor="accent1"/>
          <w:sz w:val="24"/>
          <w:szCs w:val="24"/>
        </w:rPr>
        <w:t xml:space="preserve">relatedness) </w:t>
      </w:r>
      <w:r w:rsidR="00B425E9" w:rsidRPr="00A71375">
        <w:rPr>
          <w:i/>
          <w:iCs/>
          <w:color w:val="4472C4" w:themeColor="accent1"/>
          <w:sz w:val="24"/>
          <w:szCs w:val="24"/>
        </w:rPr>
        <w:t>are reported to the Monitoring Body and NIAMS</w:t>
      </w:r>
      <w:r w:rsidR="000F3B24" w:rsidRPr="00A71375">
        <w:rPr>
          <w:i/>
          <w:iCs/>
          <w:color w:val="4472C4" w:themeColor="accent1"/>
          <w:sz w:val="24"/>
          <w:szCs w:val="24"/>
        </w:rPr>
        <w:t xml:space="preserve"> </w:t>
      </w:r>
      <w:r w:rsidR="000F3B24" w:rsidRPr="00A71375">
        <w:rPr>
          <w:rFonts w:eastAsia="Arial"/>
          <w:i/>
          <w:iCs/>
          <w:color w:val="4472C4" w:themeColor="accent1"/>
          <w:sz w:val="24"/>
          <w:szCs w:val="24"/>
        </w:rPr>
        <w:t xml:space="preserve">(through </w:t>
      </w:r>
      <w:r w:rsidR="009D1361">
        <w:rPr>
          <w:rFonts w:eastAsia="Arial"/>
          <w:i/>
          <w:iCs/>
          <w:color w:val="4472C4" w:themeColor="accent1"/>
          <w:sz w:val="24"/>
          <w:szCs w:val="24"/>
        </w:rPr>
        <w:t xml:space="preserve">the </w:t>
      </w:r>
      <w:r w:rsidR="000F3B24" w:rsidRPr="00A71375">
        <w:rPr>
          <w:rFonts w:eastAsia="Arial"/>
          <w:i/>
          <w:iCs/>
          <w:color w:val="4472C4" w:themeColor="accent1"/>
          <w:sz w:val="24"/>
          <w:szCs w:val="24"/>
        </w:rPr>
        <w:t xml:space="preserve">NIAMS Executive Secretary) </w:t>
      </w:r>
      <w:r w:rsidR="00084CBE">
        <w:rPr>
          <w:rFonts w:eastAsia="Arial"/>
          <w:i/>
          <w:iCs/>
          <w:color w:val="4472C4" w:themeColor="accent1"/>
          <w:sz w:val="24"/>
          <w:szCs w:val="24"/>
        </w:rPr>
        <w:t>semi-</w:t>
      </w:r>
      <w:r w:rsidR="00B425E9" w:rsidRPr="00A71375">
        <w:rPr>
          <w:i/>
          <w:iCs/>
          <w:color w:val="4472C4" w:themeColor="accent1"/>
          <w:sz w:val="24"/>
          <w:szCs w:val="24"/>
        </w:rPr>
        <w:t>annually or as determined by the NIAMS.</w:t>
      </w:r>
      <w:r w:rsidRPr="00A71375">
        <w:rPr>
          <w:i/>
          <w:iCs/>
          <w:color w:val="4472C4" w:themeColor="accent1"/>
          <w:sz w:val="24"/>
          <w:szCs w:val="24"/>
        </w:rPr>
        <w:t>}</w:t>
      </w:r>
      <w:r w:rsidR="00B425E9" w:rsidRPr="00A71375">
        <w:rPr>
          <w:i/>
          <w:iCs/>
          <w:color w:val="4472C4" w:themeColor="accent1"/>
          <w:sz w:val="24"/>
          <w:szCs w:val="24"/>
        </w:rPr>
        <w:t xml:space="preserve">  </w:t>
      </w:r>
    </w:p>
    <w:p w14:paraId="77FDF800" w14:textId="749827AD" w:rsidR="00DA212E" w:rsidRPr="00A71375" w:rsidRDefault="00DA212E" w:rsidP="00F111DC">
      <w:pPr>
        <w:pStyle w:val="BodyTextSample"/>
      </w:pPr>
      <w:r w:rsidRPr="00A71375">
        <w:t>{Begin sample text}</w:t>
      </w:r>
    </w:p>
    <w:p w14:paraId="7CB62623" w14:textId="4F859CE0" w:rsidR="00663C92" w:rsidRPr="00A71375" w:rsidRDefault="00663C92" w:rsidP="00663C92">
      <w:pPr>
        <w:spacing w:line="274" w:lineRule="auto"/>
        <w:rPr>
          <w:sz w:val="24"/>
          <w:szCs w:val="24"/>
        </w:rPr>
      </w:pPr>
      <w:r w:rsidRPr="00A71375">
        <w:rPr>
          <w:sz w:val="24"/>
          <w:szCs w:val="24"/>
        </w:rPr>
        <w:t>All AEs are reported in aggregate as part of the routine data and safety monitoring report provided to the Monitoring Body and NIAMS (through the NIAMS Executive Secretary). AEs are reported to the IRB as part of the continuing review.</w:t>
      </w:r>
    </w:p>
    <w:p w14:paraId="0C370A7E" w14:textId="6CF1BE0A" w:rsidR="00DA212E" w:rsidRPr="00A71375" w:rsidRDefault="00DA212E" w:rsidP="00F111DC">
      <w:pPr>
        <w:pStyle w:val="BodyTextSample"/>
      </w:pPr>
      <w:r w:rsidRPr="00A71375">
        <w:t>{End sample text}</w:t>
      </w:r>
    </w:p>
    <w:p w14:paraId="46C406D3" w14:textId="67A58FEB" w:rsidR="000F3B24" w:rsidRPr="00A71375" w:rsidRDefault="000F3B24" w:rsidP="00976B21">
      <w:pPr>
        <w:pStyle w:val="Heading3"/>
      </w:pPr>
      <w:bookmarkStart w:id="25" w:name="_Toc50553251"/>
      <w:r w:rsidRPr="00A71375">
        <w:t>3.</w:t>
      </w:r>
      <w:r w:rsidR="00032025" w:rsidRPr="00A71375">
        <w:t>3</w:t>
      </w:r>
      <w:r w:rsidRPr="00A71375">
        <w:t>.2 SAE Reporting Procedures</w:t>
      </w:r>
      <w:bookmarkEnd w:id="25"/>
    </w:p>
    <w:p w14:paraId="2C9D0CAF" w14:textId="52215168" w:rsidR="000F3B24" w:rsidRPr="00A71375" w:rsidRDefault="00DA212E" w:rsidP="00DC6F94">
      <w:pPr>
        <w:spacing w:line="274" w:lineRule="auto"/>
        <w:rPr>
          <w:i/>
          <w:iCs/>
          <w:color w:val="4472C4" w:themeColor="accent1"/>
          <w:sz w:val="24"/>
          <w:szCs w:val="24"/>
        </w:rPr>
      </w:pPr>
      <w:r w:rsidRPr="00A71375">
        <w:rPr>
          <w:i/>
          <w:iCs/>
          <w:color w:val="4472C4" w:themeColor="accent1"/>
          <w:sz w:val="24"/>
          <w:szCs w:val="24"/>
        </w:rPr>
        <w:t>{</w:t>
      </w:r>
      <w:r w:rsidR="000F3B24" w:rsidRPr="00A71375">
        <w:rPr>
          <w:i/>
          <w:iCs/>
          <w:color w:val="4472C4" w:themeColor="accent1"/>
          <w:sz w:val="24"/>
          <w:szCs w:val="24"/>
        </w:rPr>
        <w:t xml:space="preserve">All SAEs (regardless of </w:t>
      </w:r>
      <w:r w:rsidR="00523940" w:rsidRPr="00A71375">
        <w:rPr>
          <w:i/>
          <w:iCs/>
          <w:color w:val="4472C4" w:themeColor="accent1"/>
          <w:sz w:val="24"/>
          <w:szCs w:val="24"/>
        </w:rPr>
        <w:t>expectedness</w:t>
      </w:r>
      <w:r w:rsidR="00523940">
        <w:rPr>
          <w:i/>
          <w:iCs/>
          <w:color w:val="4472C4" w:themeColor="accent1"/>
          <w:sz w:val="24"/>
          <w:szCs w:val="24"/>
        </w:rPr>
        <w:t xml:space="preserve"> or</w:t>
      </w:r>
      <w:r w:rsidR="00523940" w:rsidRPr="00A71375">
        <w:rPr>
          <w:i/>
          <w:iCs/>
          <w:color w:val="4472C4" w:themeColor="accent1"/>
          <w:sz w:val="24"/>
          <w:szCs w:val="24"/>
        </w:rPr>
        <w:t xml:space="preserve"> </w:t>
      </w:r>
      <w:r w:rsidR="000F3B24" w:rsidRPr="00A71375">
        <w:rPr>
          <w:i/>
          <w:iCs/>
          <w:color w:val="4472C4" w:themeColor="accent1"/>
          <w:sz w:val="24"/>
          <w:szCs w:val="24"/>
        </w:rPr>
        <w:t xml:space="preserve">relatedness) must be reported in an expedited manner to the NIAMS and the </w:t>
      </w:r>
      <w:r w:rsidR="00CB2A48" w:rsidRPr="00A71375">
        <w:rPr>
          <w:i/>
          <w:iCs/>
          <w:color w:val="4472C4" w:themeColor="accent1"/>
          <w:sz w:val="24"/>
          <w:szCs w:val="24"/>
        </w:rPr>
        <w:t>M</w:t>
      </w:r>
      <w:r w:rsidR="000F3B24" w:rsidRPr="00A71375">
        <w:rPr>
          <w:i/>
          <w:iCs/>
          <w:color w:val="4472C4" w:themeColor="accent1"/>
          <w:sz w:val="24"/>
          <w:szCs w:val="24"/>
        </w:rPr>
        <w:t xml:space="preserve">onitoring </w:t>
      </w:r>
      <w:r w:rsidR="00CB2A48" w:rsidRPr="00A71375">
        <w:rPr>
          <w:i/>
          <w:iCs/>
          <w:color w:val="4472C4" w:themeColor="accent1"/>
          <w:sz w:val="24"/>
          <w:szCs w:val="24"/>
        </w:rPr>
        <w:t>B</w:t>
      </w:r>
      <w:r w:rsidR="000F3B24" w:rsidRPr="00A71375">
        <w:rPr>
          <w:i/>
          <w:iCs/>
          <w:color w:val="4472C4" w:themeColor="accent1"/>
          <w:sz w:val="24"/>
          <w:szCs w:val="24"/>
        </w:rPr>
        <w:t>ody. There may be different timeline for reporting SAE to the IRBs, FDA (if applicable), Monitoring Body and the NIAMS. The timeline</w:t>
      </w:r>
      <w:r w:rsidR="005C0512" w:rsidRPr="00A71375">
        <w:rPr>
          <w:i/>
          <w:iCs/>
          <w:color w:val="4472C4" w:themeColor="accent1"/>
          <w:sz w:val="24"/>
          <w:szCs w:val="24"/>
        </w:rPr>
        <w:t xml:space="preserve"> for </w:t>
      </w:r>
      <w:r w:rsidR="000F3B24" w:rsidRPr="00A71375">
        <w:rPr>
          <w:i/>
          <w:iCs/>
          <w:color w:val="4472C4" w:themeColor="accent1"/>
          <w:sz w:val="24"/>
          <w:szCs w:val="24"/>
        </w:rPr>
        <w:t xml:space="preserve">reporting </w:t>
      </w:r>
      <w:r w:rsidR="005C0512" w:rsidRPr="00A71375">
        <w:rPr>
          <w:i/>
          <w:iCs/>
          <w:color w:val="4472C4" w:themeColor="accent1"/>
          <w:sz w:val="24"/>
          <w:szCs w:val="24"/>
        </w:rPr>
        <w:t xml:space="preserve">SAEs to the </w:t>
      </w:r>
      <w:r w:rsidR="000F3B24" w:rsidRPr="00A71375">
        <w:rPr>
          <w:i/>
          <w:iCs/>
          <w:color w:val="4472C4" w:themeColor="accent1"/>
          <w:sz w:val="24"/>
          <w:szCs w:val="24"/>
        </w:rPr>
        <w:t>Monitoring Body and NIAMS</w:t>
      </w:r>
      <w:r w:rsidR="005C0512" w:rsidRPr="00A71375">
        <w:rPr>
          <w:i/>
          <w:iCs/>
          <w:color w:val="4472C4" w:themeColor="accent1"/>
          <w:sz w:val="24"/>
          <w:szCs w:val="24"/>
        </w:rPr>
        <w:t xml:space="preserve"> (through the </w:t>
      </w:r>
      <w:r w:rsidR="00844416">
        <w:rPr>
          <w:i/>
          <w:iCs/>
          <w:color w:val="4472C4" w:themeColor="accent1"/>
          <w:sz w:val="24"/>
          <w:szCs w:val="24"/>
        </w:rPr>
        <w:t xml:space="preserve">NIAMS </w:t>
      </w:r>
      <w:r w:rsidR="005C0512" w:rsidRPr="00A71375">
        <w:rPr>
          <w:i/>
          <w:iCs/>
          <w:color w:val="4472C4" w:themeColor="accent1"/>
          <w:sz w:val="24"/>
          <w:szCs w:val="24"/>
        </w:rPr>
        <w:t xml:space="preserve">Executive Secretary) </w:t>
      </w:r>
      <w:r w:rsidR="00F33474" w:rsidRPr="00A71375">
        <w:rPr>
          <w:i/>
          <w:iCs/>
          <w:color w:val="4472C4" w:themeColor="accent1"/>
          <w:sz w:val="24"/>
          <w:szCs w:val="24"/>
        </w:rPr>
        <w:t xml:space="preserve">is </w:t>
      </w:r>
      <w:r w:rsidR="005C0512" w:rsidRPr="00A71375">
        <w:rPr>
          <w:b/>
          <w:bCs/>
          <w:i/>
          <w:iCs/>
          <w:color w:val="4472C4" w:themeColor="accent1"/>
          <w:sz w:val="24"/>
          <w:szCs w:val="24"/>
        </w:rPr>
        <w:t>within 48 hours of the investigator becoming aware of the event</w:t>
      </w:r>
      <w:r w:rsidR="00F33474" w:rsidRPr="00A71375">
        <w:rPr>
          <w:i/>
          <w:iCs/>
          <w:color w:val="4472C4" w:themeColor="accent1"/>
          <w:sz w:val="24"/>
          <w:szCs w:val="24"/>
        </w:rPr>
        <w:t xml:space="preserve"> </w:t>
      </w:r>
      <w:bookmarkStart w:id="26" w:name="_Hlk40264500"/>
      <w:r w:rsidR="00F33474" w:rsidRPr="00A71375">
        <w:rPr>
          <w:i/>
          <w:iCs/>
          <w:color w:val="4472C4" w:themeColor="accent1"/>
          <w:sz w:val="24"/>
          <w:szCs w:val="24"/>
        </w:rPr>
        <w:t>so that a real time assessment can be conducted, and the outcome shared in a timely manner</w:t>
      </w:r>
      <w:bookmarkEnd w:id="26"/>
      <w:r w:rsidR="00F33474" w:rsidRPr="00A71375">
        <w:rPr>
          <w:i/>
          <w:iCs/>
          <w:color w:val="4472C4" w:themeColor="accent1"/>
          <w:sz w:val="24"/>
          <w:szCs w:val="24"/>
        </w:rPr>
        <w:t>.</w:t>
      </w:r>
      <w:r w:rsidRPr="00A71375">
        <w:rPr>
          <w:i/>
          <w:iCs/>
          <w:color w:val="4472C4" w:themeColor="accent1"/>
          <w:sz w:val="24"/>
          <w:szCs w:val="24"/>
        </w:rPr>
        <w:t>}</w:t>
      </w:r>
    </w:p>
    <w:p w14:paraId="369A33F4" w14:textId="28EE0492" w:rsidR="00DA212E" w:rsidRPr="00A71375" w:rsidRDefault="00DA212E" w:rsidP="00F111DC">
      <w:pPr>
        <w:pStyle w:val="BodyText21"/>
        <w:keepNext/>
        <w:ind w:right="-14"/>
        <w:rPr>
          <w:rFonts w:ascii="Arial" w:hAnsi="Arial" w:cs="Arial"/>
          <w:b/>
          <w:i/>
          <w:color w:val="4472C4" w:themeColor="accent1"/>
          <w:szCs w:val="24"/>
        </w:rPr>
      </w:pPr>
      <w:r w:rsidRPr="00A71375">
        <w:rPr>
          <w:rFonts w:ascii="Arial" w:hAnsi="Arial" w:cs="Arial"/>
          <w:b/>
          <w:i/>
          <w:color w:val="4472C4" w:themeColor="accent1"/>
          <w:szCs w:val="24"/>
        </w:rPr>
        <w:lastRenderedPageBreak/>
        <w:t>{Begin sample text}</w:t>
      </w:r>
    </w:p>
    <w:p w14:paraId="03A84529" w14:textId="1B6F5DB3" w:rsidR="005F2BAC" w:rsidRPr="00A71375" w:rsidRDefault="002316DE" w:rsidP="002316DE">
      <w:pPr>
        <w:spacing w:line="274" w:lineRule="auto"/>
        <w:rPr>
          <w:sz w:val="24"/>
          <w:szCs w:val="24"/>
        </w:rPr>
      </w:pPr>
      <w:r w:rsidRPr="00A71375">
        <w:rPr>
          <w:sz w:val="24"/>
          <w:szCs w:val="24"/>
        </w:rPr>
        <w:t>All SAEs</w:t>
      </w:r>
      <w:r w:rsidR="00663C92" w:rsidRPr="00A71375">
        <w:rPr>
          <w:iCs/>
          <w:sz w:val="24"/>
          <w:szCs w:val="24"/>
        </w:rPr>
        <w:t xml:space="preserve"> (regardless of </w:t>
      </w:r>
      <w:r w:rsidR="001E0346" w:rsidRPr="00A71375">
        <w:rPr>
          <w:iCs/>
          <w:sz w:val="24"/>
          <w:szCs w:val="24"/>
        </w:rPr>
        <w:t xml:space="preserve">expectedness </w:t>
      </w:r>
      <w:r w:rsidR="001E0346">
        <w:rPr>
          <w:iCs/>
          <w:sz w:val="24"/>
          <w:szCs w:val="24"/>
        </w:rPr>
        <w:t xml:space="preserve">or </w:t>
      </w:r>
      <w:r w:rsidR="00663C92" w:rsidRPr="00A71375">
        <w:rPr>
          <w:iCs/>
          <w:sz w:val="24"/>
          <w:szCs w:val="24"/>
        </w:rPr>
        <w:t>relatedness)</w:t>
      </w:r>
      <w:r w:rsidR="00663C92" w:rsidRPr="00A71375">
        <w:rPr>
          <w:sz w:val="24"/>
          <w:szCs w:val="24"/>
        </w:rPr>
        <w:t xml:space="preserve"> </w:t>
      </w:r>
      <w:r w:rsidRPr="00A71375">
        <w:rPr>
          <w:sz w:val="24"/>
          <w:szCs w:val="24"/>
        </w:rPr>
        <w:t xml:space="preserve">will be reported to the Monitoring Body and NIAMS (through the NIAMS Executive Secretary) within 48-hours of the investigator becoming aware of the event. The study team will utilize the study specific SAE report form to collect the information and the investigator will conduct and provide </w:t>
      </w:r>
      <w:r w:rsidRPr="00A71375">
        <w:rPr>
          <w:iCs/>
          <w:sz w:val="24"/>
          <w:szCs w:val="24"/>
        </w:rPr>
        <w:t>an</w:t>
      </w:r>
      <w:r w:rsidRPr="00A71375">
        <w:rPr>
          <w:sz w:val="24"/>
          <w:szCs w:val="24"/>
        </w:rPr>
        <w:t xml:space="preserve"> assessment of each event. Other relevant medical information will be completed on all SAEs regardless of </w:t>
      </w:r>
      <w:r w:rsidR="004D1583" w:rsidRPr="00A71375">
        <w:rPr>
          <w:sz w:val="24"/>
          <w:szCs w:val="24"/>
        </w:rPr>
        <w:t xml:space="preserve">expectedness </w:t>
      </w:r>
      <w:r w:rsidR="001B6878">
        <w:rPr>
          <w:sz w:val="24"/>
          <w:szCs w:val="24"/>
        </w:rPr>
        <w:t xml:space="preserve">or </w:t>
      </w:r>
      <w:r w:rsidRPr="00A71375">
        <w:rPr>
          <w:sz w:val="24"/>
          <w:szCs w:val="24"/>
        </w:rPr>
        <w:t>relatedness. This data will be entered in the study electronic database capture system.</w:t>
      </w:r>
    </w:p>
    <w:p w14:paraId="190F0EED" w14:textId="2C231C2A" w:rsidR="00F32AFB" w:rsidRPr="00A71375" w:rsidRDefault="00F32AFB" w:rsidP="002316DE">
      <w:pPr>
        <w:spacing w:line="274" w:lineRule="auto"/>
        <w:rPr>
          <w:iCs/>
          <w:sz w:val="24"/>
          <w:szCs w:val="24"/>
        </w:rPr>
      </w:pPr>
      <w:r w:rsidRPr="00A71375">
        <w:rPr>
          <w:iCs/>
          <w:sz w:val="24"/>
          <w:szCs w:val="24"/>
        </w:rPr>
        <w:t>The expedited initial SAE reports should be submitted with any available information and it is acceptable if the report is not complete. Follow-up reports should be provided as additional information becomes available. All SAEs must be followed to resolution and a final report submitted detailing the outcome.</w:t>
      </w:r>
    </w:p>
    <w:p w14:paraId="5DF26C67" w14:textId="38359A8A" w:rsidR="00DA212E" w:rsidRPr="00A71375" w:rsidRDefault="00DA212E" w:rsidP="00F111DC">
      <w:pPr>
        <w:pStyle w:val="BodyTextSample"/>
      </w:pPr>
      <w:r w:rsidRPr="00A71375">
        <w:t>{End sample text}</w:t>
      </w:r>
    </w:p>
    <w:p w14:paraId="29E7D034" w14:textId="62005013" w:rsidR="005C0512" w:rsidRPr="00A71375" w:rsidRDefault="005C0512" w:rsidP="00976B21">
      <w:pPr>
        <w:pStyle w:val="Heading3"/>
      </w:pPr>
      <w:bookmarkStart w:id="27" w:name="_Toc50553252"/>
      <w:r w:rsidRPr="00A71375">
        <w:t>3.</w:t>
      </w:r>
      <w:r w:rsidR="00032025" w:rsidRPr="00A71375">
        <w:t>3</w:t>
      </w:r>
      <w:r w:rsidRPr="00A71375">
        <w:t>.3 UP Reporting Procedures</w:t>
      </w:r>
      <w:bookmarkEnd w:id="27"/>
    </w:p>
    <w:p w14:paraId="7590E4A0" w14:textId="68E2797E" w:rsidR="005C0512" w:rsidRPr="00A71375" w:rsidRDefault="00DA212E" w:rsidP="005C0512">
      <w:pPr>
        <w:spacing w:line="274" w:lineRule="auto"/>
        <w:rPr>
          <w:i/>
          <w:iCs/>
          <w:color w:val="4472C4" w:themeColor="accent1"/>
          <w:sz w:val="24"/>
          <w:szCs w:val="24"/>
        </w:rPr>
      </w:pPr>
      <w:r w:rsidRPr="00A71375">
        <w:rPr>
          <w:i/>
          <w:iCs/>
          <w:color w:val="4472C4" w:themeColor="accent1"/>
          <w:sz w:val="24"/>
          <w:szCs w:val="24"/>
        </w:rPr>
        <w:t>{</w:t>
      </w:r>
      <w:r w:rsidR="005C0512" w:rsidRPr="00A71375">
        <w:rPr>
          <w:i/>
          <w:iCs/>
          <w:color w:val="4472C4" w:themeColor="accent1"/>
          <w:sz w:val="24"/>
          <w:szCs w:val="24"/>
        </w:rPr>
        <w:t>All events that meet the criteria of a UP must be reported in an expedit</w:t>
      </w:r>
      <w:r w:rsidR="00663C92" w:rsidRPr="00A71375">
        <w:rPr>
          <w:i/>
          <w:iCs/>
          <w:color w:val="4472C4" w:themeColor="accent1"/>
          <w:sz w:val="24"/>
          <w:szCs w:val="24"/>
        </w:rPr>
        <w:t>ed manner to the NIAMS and the Monitoring B</w:t>
      </w:r>
      <w:r w:rsidR="005C0512" w:rsidRPr="00A71375">
        <w:rPr>
          <w:i/>
          <w:iCs/>
          <w:color w:val="4472C4" w:themeColor="accent1"/>
          <w:sz w:val="24"/>
          <w:szCs w:val="24"/>
        </w:rPr>
        <w:t xml:space="preserve">ody. There may be different timeline for reporting UPs to the IRBs, </w:t>
      </w:r>
      <w:r w:rsidR="00F33474" w:rsidRPr="00A71375">
        <w:rPr>
          <w:i/>
          <w:iCs/>
          <w:color w:val="4472C4" w:themeColor="accent1"/>
          <w:sz w:val="24"/>
          <w:szCs w:val="24"/>
        </w:rPr>
        <w:t>OHRP/</w:t>
      </w:r>
      <w:r w:rsidR="005C0512" w:rsidRPr="00A71375">
        <w:rPr>
          <w:i/>
          <w:iCs/>
          <w:color w:val="4472C4" w:themeColor="accent1"/>
          <w:sz w:val="24"/>
          <w:szCs w:val="24"/>
        </w:rPr>
        <w:t>FDA (if applicable), Monitoring Body</w:t>
      </w:r>
      <w:r w:rsidR="00F32AFB" w:rsidRPr="00A71375">
        <w:rPr>
          <w:i/>
          <w:iCs/>
          <w:color w:val="4472C4" w:themeColor="accent1"/>
          <w:sz w:val="24"/>
          <w:szCs w:val="24"/>
        </w:rPr>
        <w:t>,</w:t>
      </w:r>
      <w:r w:rsidR="005C0512" w:rsidRPr="00A71375">
        <w:rPr>
          <w:i/>
          <w:iCs/>
          <w:color w:val="4472C4" w:themeColor="accent1"/>
          <w:sz w:val="24"/>
          <w:szCs w:val="24"/>
        </w:rPr>
        <w:t xml:space="preserve"> and the NIAMS. The timeline for reporting UPs to the Monitoring Body and NIAMS (through the </w:t>
      </w:r>
      <w:r w:rsidR="00CF2204">
        <w:rPr>
          <w:i/>
          <w:iCs/>
          <w:color w:val="4472C4" w:themeColor="accent1"/>
          <w:sz w:val="24"/>
          <w:szCs w:val="24"/>
        </w:rPr>
        <w:t xml:space="preserve">NIAMS </w:t>
      </w:r>
      <w:r w:rsidR="005C0512" w:rsidRPr="00A71375">
        <w:rPr>
          <w:i/>
          <w:iCs/>
          <w:color w:val="4472C4" w:themeColor="accent1"/>
          <w:sz w:val="24"/>
          <w:szCs w:val="24"/>
        </w:rPr>
        <w:t>Executive Secretary)</w:t>
      </w:r>
      <w:r w:rsidR="00F33474" w:rsidRPr="00A71375">
        <w:rPr>
          <w:i/>
          <w:iCs/>
          <w:color w:val="4472C4" w:themeColor="accent1"/>
          <w:sz w:val="24"/>
          <w:szCs w:val="24"/>
        </w:rPr>
        <w:t xml:space="preserve"> is</w:t>
      </w:r>
      <w:r w:rsidR="005C0512" w:rsidRPr="00A71375">
        <w:rPr>
          <w:i/>
          <w:iCs/>
          <w:color w:val="4472C4" w:themeColor="accent1"/>
          <w:sz w:val="24"/>
          <w:szCs w:val="24"/>
        </w:rPr>
        <w:t xml:space="preserve"> </w:t>
      </w:r>
      <w:r w:rsidR="005C0512" w:rsidRPr="00A71375">
        <w:rPr>
          <w:b/>
          <w:bCs/>
          <w:i/>
          <w:iCs/>
          <w:color w:val="4472C4" w:themeColor="accent1"/>
          <w:sz w:val="24"/>
          <w:szCs w:val="24"/>
        </w:rPr>
        <w:t>within 48 hours of the investigator becoming aware of the event</w:t>
      </w:r>
      <w:r w:rsidR="00F33474" w:rsidRPr="00A71375">
        <w:rPr>
          <w:b/>
          <w:bCs/>
          <w:i/>
          <w:iCs/>
          <w:color w:val="4472C4" w:themeColor="accent1"/>
          <w:sz w:val="24"/>
          <w:szCs w:val="24"/>
        </w:rPr>
        <w:t xml:space="preserve"> </w:t>
      </w:r>
      <w:r w:rsidR="00F33474" w:rsidRPr="00A71375">
        <w:rPr>
          <w:i/>
          <w:iCs/>
          <w:color w:val="4472C4" w:themeColor="accent1"/>
          <w:sz w:val="24"/>
          <w:szCs w:val="24"/>
        </w:rPr>
        <w:t>so that a real time assessment can be conducted, and the outcome shared in a timely manner</w:t>
      </w:r>
      <w:r w:rsidR="005C0512" w:rsidRPr="00A71375">
        <w:rPr>
          <w:i/>
          <w:iCs/>
          <w:color w:val="4472C4" w:themeColor="accent1"/>
          <w:sz w:val="24"/>
          <w:szCs w:val="24"/>
        </w:rPr>
        <w:t>.</w:t>
      </w:r>
      <w:r w:rsidRPr="00A71375">
        <w:rPr>
          <w:i/>
          <w:iCs/>
          <w:color w:val="4472C4" w:themeColor="accent1"/>
          <w:sz w:val="24"/>
          <w:szCs w:val="24"/>
        </w:rPr>
        <w:t>}</w:t>
      </w:r>
    </w:p>
    <w:p w14:paraId="27ECC036" w14:textId="4DC86568" w:rsidR="00DA212E" w:rsidRPr="00A71375" w:rsidRDefault="00DA212E" w:rsidP="00F111DC">
      <w:pPr>
        <w:pStyle w:val="BodyTextSample"/>
      </w:pPr>
      <w:r w:rsidRPr="00A71375">
        <w:t>{Begin sample text}</w:t>
      </w:r>
    </w:p>
    <w:p w14:paraId="1676BCB2" w14:textId="43E7CF33" w:rsidR="00F479DD" w:rsidRPr="00A71375" w:rsidRDefault="00691B21" w:rsidP="00F479DD">
      <w:pPr>
        <w:spacing w:line="274" w:lineRule="auto"/>
        <w:rPr>
          <w:sz w:val="24"/>
          <w:szCs w:val="24"/>
        </w:rPr>
      </w:pPr>
      <w:r w:rsidRPr="00A71375">
        <w:rPr>
          <w:sz w:val="24"/>
          <w:szCs w:val="24"/>
        </w:rPr>
        <w:t xml:space="preserve">If </w:t>
      </w:r>
      <w:r w:rsidR="00F32AFB" w:rsidRPr="00A71375">
        <w:rPr>
          <w:sz w:val="24"/>
          <w:szCs w:val="24"/>
        </w:rPr>
        <w:t>UPs</w:t>
      </w:r>
      <w:r w:rsidRPr="00A71375">
        <w:rPr>
          <w:sz w:val="24"/>
          <w:szCs w:val="24"/>
        </w:rPr>
        <w:t xml:space="preserve"> occur during the study, they will be reported to the IRB, </w:t>
      </w:r>
      <w:r w:rsidR="00F479DD" w:rsidRPr="00A71375">
        <w:rPr>
          <w:sz w:val="24"/>
          <w:szCs w:val="24"/>
        </w:rPr>
        <w:t>Monitoring Body</w:t>
      </w:r>
      <w:r w:rsidR="00F32AFB" w:rsidRPr="00A71375">
        <w:rPr>
          <w:sz w:val="24"/>
          <w:szCs w:val="24"/>
        </w:rPr>
        <w:t>,</w:t>
      </w:r>
      <w:r w:rsidR="00F479DD" w:rsidRPr="00A71375">
        <w:rPr>
          <w:sz w:val="24"/>
          <w:szCs w:val="24"/>
        </w:rPr>
        <w:t xml:space="preserve"> and NIAMS</w:t>
      </w:r>
      <w:r w:rsidRPr="00A71375">
        <w:rPr>
          <w:sz w:val="24"/>
          <w:szCs w:val="24"/>
        </w:rPr>
        <w:t xml:space="preserve"> by the study team</w:t>
      </w:r>
      <w:r w:rsidRPr="00A71375">
        <w:rPr>
          <w:i/>
          <w:iCs/>
          <w:sz w:val="24"/>
          <w:szCs w:val="24"/>
        </w:rPr>
        <w:t xml:space="preserve">. </w:t>
      </w:r>
      <w:r w:rsidRPr="00A71375">
        <w:rPr>
          <w:sz w:val="24"/>
          <w:szCs w:val="24"/>
        </w:rPr>
        <w:t xml:space="preserve">The UP report for the Monitoring Body and NIAMS will be completed and submitted to the NIAMS </w:t>
      </w:r>
      <w:r w:rsidR="00F479DD" w:rsidRPr="00A71375">
        <w:rPr>
          <w:sz w:val="24"/>
          <w:szCs w:val="24"/>
        </w:rPr>
        <w:t xml:space="preserve">Executive Secretary </w:t>
      </w:r>
      <w:r w:rsidR="00F479DD" w:rsidRPr="00A71375">
        <w:rPr>
          <w:b/>
          <w:bCs/>
          <w:sz w:val="24"/>
          <w:szCs w:val="24"/>
        </w:rPr>
        <w:t>within 48 hours of the investigator becoming aware of the event</w:t>
      </w:r>
      <w:r w:rsidR="00F479DD" w:rsidRPr="00A71375">
        <w:rPr>
          <w:sz w:val="24"/>
          <w:szCs w:val="24"/>
        </w:rPr>
        <w:t>.</w:t>
      </w:r>
      <w:r w:rsidR="00F32AFB" w:rsidRPr="00A71375">
        <w:rPr>
          <w:sz w:val="24"/>
          <w:szCs w:val="24"/>
        </w:rPr>
        <w:t xml:space="preserve"> </w:t>
      </w:r>
    </w:p>
    <w:p w14:paraId="3A62C59D" w14:textId="0BE32CA9" w:rsidR="00F32AFB" w:rsidRPr="00A71375" w:rsidRDefault="00F32AFB" w:rsidP="00F479DD">
      <w:pPr>
        <w:spacing w:line="274" w:lineRule="auto"/>
        <w:rPr>
          <w:sz w:val="24"/>
          <w:szCs w:val="24"/>
        </w:rPr>
      </w:pPr>
      <w:r w:rsidRPr="00A71375">
        <w:rPr>
          <w:sz w:val="24"/>
          <w:szCs w:val="24"/>
        </w:rPr>
        <w:t>All events that meet the requirements of a UP are reported to the IRB in accordance to their policy, within 10 days of participant disclosure to a clinical site.</w:t>
      </w:r>
    </w:p>
    <w:p w14:paraId="5AC02B94" w14:textId="60554CB6" w:rsidR="008E2F36" w:rsidRPr="00A71375" w:rsidRDefault="008E2F36" w:rsidP="00F111DC">
      <w:pPr>
        <w:pStyle w:val="BodyTextSample"/>
      </w:pPr>
      <w:r w:rsidRPr="00A71375">
        <w:t>{End sample text}</w:t>
      </w:r>
    </w:p>
    <w:p w14:paraId="46965453" w14:textId="3A11E1D3" w:rsidR="00663C92" w:rsidRPr="00A71375" w:rsidRDefault="0052242A" w:rsidP="00976B21">
      <w:pPr>
        <w:pStyle w:val="Heading3"/>
      </w:pPr>
      <w:bookmarkStart w:id="28" w:name="_Toc50553253"/>
      <w:r w:rsidRPr="00A71375">
        <w:lastRenderedPageBreak/>
        <w:t>3.</w:t>
      </w:r>
      <w:r w:rsidR="00032025" w:rsidRPr="00A71375">
        <w:t>3</w:t>
      </w:r>
      <w:r w:rsidRPr="00A71375">
        <w:t>.4 Protocol Deviation</w:t>
      </w:r>
      <w:r w:rsidR="00040DA2" w:rsidRPr="00A71375">
        <w:t xml:space="preserve"> Reporting Procedures</w:t>
      </w:r>
      <w:bookmarkEnd w:id="28"/>
    </w:p>
    <w:p w14:paraId="2768A527" w14:textId="4E91C9CD" w:rsidR="002C7A5D" w:rsidRPr="00A71375" w:rsidRDefault="00EB1C79" w:rsidP="00F111DC">
      <w:pPr>
        <w:pStyle w:val="BodyTextblue"/>
        <w:keepLines/>
      </w:pPr>
      <w:r w:rsidRPr="00A71375">
        <w:t>{</w:t>
      </w:r>
      <w:r w:rsidR="002C7A5D" w:rsidRPr="00A71375">
        <w:t xml:space="preserve">Protocol deviations impacting participant safety are subject to expedited reporting to the </w:t>
      </w:r>
      <w:bookmarkStart w:id="29" w:name="_Hlk40274911"/>
      <w:r w:rsidR="002C7A5D" w:rsidRPr="00A71375">
        <w:t xml:space="preserve">Monitoring Body and NIAMS (through </w:t>
      </w:r>
      <w:r w:rsidR="00CF2204">
        <w:t xml:space="preserve">the </w:t>
      </w:r>
      <w:r w:rsidR="002C7A5D" w:rsidRPr="00A71375">
        <w:t xml:space="preserve">NIAMS Executive Secretary) </w:t>
      </w:r>
      <w:r w:rsidR="002C7A5D" w:rsidRPr="00A71375">
        <w:rPr>
          <w:b/>
          <w:bCs/>
        </w:rPr>
        <w:t>within 48 hours of the investigator becoming aware of the event</w:t>
      </w:r>
      <w:r w:rsidR="00F33474" w:rsidRPr="00A71375">
        <w:rPr>
          <w:b/>
          <w:bCs/>
        </w:rPr>
        <w:t xml:space="preserve"> </w:t>
      </w:r>
      <w:bookmarkEnd w:id="29"/>
      <w:r w:rsidR="00F33474" w:rsidRPr="00A71375">
        <w:t>so that a real time assessment can be conducted, and the outcome shared in a timely manner</w:t>
      </w:r>
      <w:r w:rsidR="002C7A5D" w:rsidRPr="00A71375">
        <w:rPr>
          <w:b/>
          <w:bCs/>
        </w:rPr>
        <w:t>.</w:t>
      </w:r>
      <w:r w:rsidR="002C7A5D" w:rsidRPr="00A71375">
        <w:t xml:space="preserve"> All other events should be reported at the time of the routine DSMB meeting or submission of the safety report.</w:t>
      </w:r>
      <w:r w:rsidRPr="00A71375">
        <w:t>}</w:t>
      </w:r>
      <w:r w:rsidR="002C7A5D" w:rsidRPr="00A71375">
        <w:t xml:space="preserve"> </w:t>
      </w:r>
    </w:p>
    <w:p w14:paraId="4943FD3A" w14:textId="618D083F" w:rsidR="00EB1C79" w:rsidRPr="00A71375" w:rsidRDefault="00EB1C79" w:rsidP="00F111DC">
      <w:pPr>
        <w:pStyle w:val="BodyTextSample"/>
      </w:pPr>
      <w:r w:rsidRPr="00A71375">
        <w:t>{Begin sample text}</w:t>
      </w:r>
    </w:p>
    <w:p w14:paraId="3814C83E" w14:textId="2D29B02A" w:rsidR="002C7A5D" w:rsidRPr="00A71375" w:rsidRDefault="002C7A5D" w:rsidP="00F111DC">
      <w:pPr>
        <w:pStyle w:val="BodyText"/>
      </w:pPr>
      <w:r w:rsidRPr="00A71375">
        <w:t xml:space="preserve">Protocol deviations </w:t>
      </w:r>
      <w:r w:rsidR="00AA112A" w:rsidRPr="00A71375">
        <w:t xml:space="preserve">that may impact participant safety </w:t>
      </w:r>
      <w:r w:rsidR="003E5757" w:rsidRPr="00A71375">
        <w:t xml:space="preserve">will be reported to the Monitoring Body and NIAMS (through </w:t>
      </w:r>
      <w:r w:rsidR="00CF2204">
        <w:t xml:space="preserve">the </w:t>
      </w:r>
      <w:r w:rsidR="003E5757" w:rsidRPr="00A71375">
        <w:t xml:space="preserve">NIAMS Executive Secretary) within 48 hours of the investigator becoming aware of the event. These </w:t>
      </w:r>
      <w:r w:rsidR="00F32AFB" w:rsidRPr="00A71375">
        <w:t>may</w:t>
      </w:r>
      <w:r w:rsidR="00026C60" w:rsidRPr="00A71375">
        <w:t xml:space="preserve"> i</w:t>
      </w:r>
      <w:r w:rsidRPr="00A71375">
        <w:t>nclude, but are not limited to, the following:</w:t>
      </w:r>
    </w:p>
    <w:p w14:paraId="24482171" w14:textId="77777777" w:rsidR="00AA112A" w:rsidRPr="00A71375" w:rsidRDefault="00AA112A" w:rsidP="00F111DC">
      <w:pPr>
        <w:pStyle w:val="ListParagraph"/>
      </w:pPr>
      <w:r w:rsidRPr="00A71375">
        <w:t>Inclusion/exclusion criteria not met</w:t>
      </w:r>
    </w:p>
    <w:p w14:paraId="397C525C" w14:textId="50BF8276" w:rsidR="00AA112A" w:rsidRPr="00A71375" w:rsidRDefault="00AA112A" w:rsidP="00F111DC">
      <w:pPr>
        <w:pStyle w:val="ListParagraph"/>
      </w:pPr>
      <w:r w:rsidRPr="00A71375">
        <w:t xml:space="preserve">Unreported </w:t>
      </w:r>
      <w:r w:rsidR="00F32AFB" w:rsidRPr="00A71375">
        <w:t>SAEs</w:t>
      </w:r>
    </w:p>
    <w:p w14:paraId="7ABD6D06" w14:textId="77777777" w:rsidR="00AA112A" w:rsidRPr="00A71375" w:rsidRDefault="00AA112A" w:rsidP="00F111DC">
      <w:pPr>
        <w:pStyle w:val="ListParagraph"/>
      </w:pPr>
      <w:r w:rsidRPr="00A71375">
        <w:t>Use of prohibited medication</w:t>
      </w:r>
    </w:p>
    <w:p w14:paraId="06CDEEFA" w14:textId="5DFCCFD1" w:rsidR="00AA112A" w:rsidRPr="00A71375" w:rsidRDefault="00AA112A" w:rsidP="00F111DC">
      <w:pPr>
        <w:pStyle w:val="ListParagraph"/>
      </w:pPr>
      <w:r w:rsidRPr="00A71375">
        <w:t xml:space="preserve">Incorrect </w:t>
      </w:r>
      <w:r w:rsidR="00815805" w:rsidRPr="00A71375">
        <w:t xml:space="preserve">lab tests drawn </w:t>
      </w:r>
      <w:r w:rsidRPr="00A71375">
        <w:t xml:space="preserve">or missing </w:t>
      </w:r>
      <w:r w:rsidR="00815805" w:rsidRPr="00A71375">
        <w:t xml:space="preserve">lab </w:t>
      </w:r>
      <w:r w:rsidRPr="00A71375">
        <w:t>tests</w:t>
      </w:r>
    </w:p>
    <w:p w14:paraId="1FD0BAB7" w14:textId="77777777" w:rsidR="00AA112A" w:rsidRPr="00A71375" w:rsidRDefault="00AA112A" w:rsidP="00F111DC">
      <w:pPr>
        <w:pStyle w:val="ListParagraph"/>
      </w:pPr>
      <w:r w:rsidRPr="00A71375">
        <w:t>Intentional deviation from protocol, Good Clinical Practice, or regulations by study personnel</w:t>
      </w:r>
    </w:p>
    <w:p w14:paraId="79BE8B2B" w14:textId="64A9C347" w:rsidR="00F32AFB" w:rsidRPr="00A71375" w:rsidRDefault="00F32AFB" w:rsidP="00F111DC">
      <w:pPr>
        <w:pStyle w:val="BodyText"/>
      </w:pPr>
      <w:r w:rsidRPr="00A71375">
        <w:t>Protocol deviations that do not impact participant safety will be reported in aggregate as part of the routine data and safety monitoring report sent to the Monitoring Body and NIAMS.</w:t>
      </w:r>
    </w:p>
    <w:p w14:paraId="380A15A6" w14:textId="5FB56BEF" w:rsidR="00F32AFB" w:rsidRPr="00A71375" w:rsidRDefault="00F32AFB" w:rsidP="00EB1C79">
      <w:pPr>
        <w:pStyle w:val="BodyText21"/>
        <w:rPr>
          <w:rFonts w:ascii="Arial" w:hAnsi="Arial" w:cs="Arial"/>
          <w:i/>
          <w:color w:val="4472C4" w:themeColor="accent1"/>
          <w:szCs w:val="24"/>
        </w:rPr>
      </w:pPr>
      <w:r w:rsidRPr="00A71375">
        <w:rPr>
          <w:rFonts w:ascii="Arial" w:hAnsi="Arial" w:cs="Arial"/>
          <w:szCs w:val="24"/>
        </w:rPr>
        <w:t>Protocol deviations are reported to the IRB in accordance to their policy, within 10 days of identification of the event.</w:t>
      </w:r>
    </w:p>
    <w:p w14:paraId="11F116EA" w14:textId="3A2DCA79" w:rsidR="00B425E9" w:rsidRPr="00A71375" w:rsidRDefault="00EB1C79" w:rsidP="00F111DC">
      <w:pPr>
        <w:pStyle w:val="BodyTextSample"/>
      </w:pPr>
      <w:r w:rsidRPr="00A71375">
        <w:t>{</w:t>
      </w:r>
      <w:r w:rsidR="00744737" w:rsidRPr="00A71375">
        <w:t>End</w:t>
      </w:r>
      <w:r w:rsidRPr="00A71375">
        <w:t xml:space="preserve"> sample text}</w:t>
      </w:r>
    </w:p>
    <w:p w14:paraId="7AAF2149" w14:textId="21183E11" w:rsidR="006F402B" w:rsidRPr="00A76B62" w:rsidRDefault="006F402B" w:rsidP="00976B21">
      <w:pPr>
        <w:pStyle w:val="Heading3"/>
      </w:pPr>
      <w:bookmarkStart w:id="30" w:name="_Toc50553254"/>
      <w:r w:rsidRPr="00A76B62">
        <w:t xml:space="preserve">3.3.5 Serious </w:t>
      </w:r>
      <w:r w:rsidR="00FC15E7" w:rsidRPr="00A76B62">
        <w:t xml:space="preserve">or </w:t>
      </w:r>
      <w:r w:rsidRPr="00A76B62">
        <w:t>Continuing Noncompliance</w:t>
      </w:r>
      <w:bookmarkEnd w:id="30"/>
    </w:p>
    <w:p w14:paraId="5DEC0C8F" w14:textId="2483DE8D" w:rsidR="006F402B" w:rsidRPr="00256AF5" w:rsidRDefault="006F402B" w:rsidP="006F402B">
      <w:pPr>
        <w:pStyle w:val="BodyText21"/>
        <w:rPr>
          <w:rFonts w:ascii="Arial" w:hAnsi="Arial" w:cs="Arial"/>
          <w:i/>
          <w:iCs/>
          <w:color w:val="4472C4" w:themeColor="accent1"/>
          <w:szCs w:val="24"/>
        </w:rPr>
      </w:pPr>
      <w:r w:rsidRPr="00256AF5">
        <w:rPr>
          <w:rFonts w:ascii="Arial" w:hAnsi="Arial" w:cs="Arial"/>
          <w:i/>
          <w:iCs/>
          <w:color w:val="4472C4" w:themeColor="accent1"/>
          <w:szCs w:val="24"/>
        </w:rPr>
        <w:t>{Th</w:t>
      </w:r>
      <w:r w:rsidR="004D66CA" w:rsidRPr="00256AF5">
        <w:rPr>
          <w:rFonts w:ascii="Arial" w:hAnsi="Arial" w:cs="Arial"/>
          <w:i/>
          <w:iCs/>
          <w:color w:val="4472C4" w:themeColor="accent1"/>
          <w:szCs w:val="24"/>
        </w:rPr>
        <w:t>is</w:t>
      </w:r>
      <w:r w:rsidRPr="00256AF5">
        <w:rPr>
          <w:rFonts w:ascii="Arial" w:hAnsi="Arial" w:cs="Arial"/>
          <w:i/>
          <w:iCs/>
          <w:color w:val="4472C4" w:themeColor="accent1"/>
          <w:szCs w:val="24"/>
        </w:rPr>
        <w:t xml:space="preserve"> section should include the process in place at your institution to capture and report serious </w:t>
      </w:r>
      <w:r w:rsidR="00FC15E7" w:rsidRPr="00256AF5">
        <w:rPr>
          <w:rFonts w:ascii="Arial" w:hAnsi="Arial" w:cs="Arial"/>
          <w:i/>
          <w:iCs/>
          <w:color w:val="4472C4" w:themeColor="accent1"/>
          <w:szCs w:val="24"/>
        </w:rPr>
        <w:t xml:space="preserve">or </w:t>
      </w:r>
      <w:r w:rsidRPr="00256AF5">
        <w:rPr>
          <w:rFonts w:ascii="Arial" w:hAnsi="Arial" w:cs="Arial"/>
          <w:i/>
          <w:iCs/>
          <w:color w:val="4472C4" w:themeColor="accent1"/>
          <w:szCs w:val="24"/>
        </w:rPr>
        <w:t xml:space="preserve">continuing noncompliance. </w:t>
      </w:r>
      <w:r w:rsidR="00D01CDB" w:rsidRPr="00256AF5">
        <w:rPr>
          <w:rFonts w:ascii="Arial" w:hAnsi="Arial" w:cs="Arial"/>
          <w:i/>
          <w:iCs/>
          <w:color w:val="4472C4" w:themeColor="accent1"/>
          <w:szCs w:val="24"/>
        </w:rPr>
        <w:t xml:space="preserve">It should include who is </w:t>
      </w:r>
      <w:r w:rsidR="000D0F99" w:rsidRPr="00256AF5">
        <w:rPr>
          <w:rFonts w:ascii="Arial" w:hAnsi="Arial" w:cs="Arial"/>
          <w:i/>
          <w:iCs/>
          <w:color w:val="4472C4" w:themeColor="accent1"/>
          <w:szCs w:val="24"/>
        </w:rPr>
        <w:t>responsible</w:t>
      </w:r>
      <w:r w:rsidR="00D01CDB" w:rsidRPr="00256AF5">
        <w:rPr>
          <w:rFonts w:ascii="Arial" w:hAnsi="Arial" w:cs="Arial"/>
          <w:i/>
          <w:iCs/>
          <w:color w:val="4472C4" w:themeColor="accent1"/>
          <w:szCs w:val="24"/>
        </w:rPr>
        <w:t xml:space="preserve"> </w:t>
      </w:r>
      <w:r w:rsidR="000D0F99" w:rsidRPr="00256AF5">
        <w:rPr>
          <w:rFonts w:ascii="Arial" w:hAnsi="Arial" w:cs="Arial"/>
          <w:i/>
          <w:iCs/>
          <w:color w:val="4472C4" w:themeColor="accent1"/>
          <w:szCs w:val="24"/>
        </w:rPr>
        <w:t xml:space="preserve">for reporting. </w:t>
      </w:r>
      <w:r w:rsidR="00FB6BF5" w:rsidRPr="00256AF5">
        <w:rPr>
          <w:rFonts w:ascii="Arial" w:hAnsi="Arial" w:cs="Arial"/>
          <w:i/>
          <w:iCs/>
          <w:color w:val="4472C4" w:themeColor="accent1"/>
          <w:szCs w:val="24"/>
        </w:rPr>
        <w:t>Serious or continuing noncompliance must be reported to the NIAMS Program Officer and Grants Management Specialist within 3 business days of IRB determination. A copy of the IRB submission and determination must be submitted along with the report</w:t>
      </w:r>
      <w:r w:rsidR="00427866" w:rsidRPr="00256AF5">
        <w:rPr>
          <w:rFonts w:ascii="Arial" w:hAnsi="Arial" w:cs="Arial"/>
          <w:i/>
          <w:iCs/>
          <w:color w:val="4472C4" w:themeColor="accent1"/>
          <w:szCs w:val="24"/>
        </w:rPr>
        <w:t xml:space="preserve"> to the NIAMS</w:t>
      </w:r>
      <w:r w:rsidR="001374D1" w:rsidRPr="00256AF5">
        <w:rPr>
          <w:rFonts w:ascii="Arial" w:hAnsi="Arial" w:cs="Arial"/>
          <w:i/>
          <w:iCs/>
          <w:color w:val="4472C4" w:themeColor="accent1"/>
          <w:szCs w:val="24"/>
        </w:rPr>
        <w:t xml:space="preserve">. </w:t>
      </w:r>
      <w:r w:rsidR="00EA120C" w:rsidRPr="00256AF5">
        <w:rPr>
          <w:rFonts w:ascii="Arial" w:hAnsi="Arial" w:cs="Arial"/>
          <w:i/>
          <w:iCs/>
          <w:color w:val="4472C4" w:themeColor="accent1"/>
          <w:szCs w:val="24"/>
        </w:rPr>
        <w:t xml:space="preserve">The </w:t>
      </w:r>
      <w:r w:rsidR="001374D1" w:rsidRPr="00256AF5">
        <w:rPr>
          <w:rFonts w:ascii="Arial" w:hAnsi="Arial" w:cs="Arial"/>
          <w:i/>
          <w:iCs/>
          <w:color w:val="4472C4" w:themeColor="accent1"/>
          <w:szCs w:val="24"/>
        </w:rPr>
        <w:t>guidance on report</w:t>
      </w:r>
      <w:r w:rsidR="004A765F" w:rsidRPr="00256AF5">
        <w:rPr>
          <w:rFonts w:ascii="Arial" w:hAnsi="Arial" w:cs="Arial"/>
          <w:i/>
          <w:iCs/>
          <w:color w:val="4472C4" w:themeColor="accent1"/>
          <w:szCs w:val="24"/>
        </w:rPr>
        <w:t>ing</w:t>
      </w:r>
      <w:r w:rsidR="001374D1" w:rsidRPr="00256AF5">
        <w:rPr>
          <w:rFonts w:ascii="Arial" w:hAnsi="Arial" w:cs="Arial"/>
          <w:i/>
          <w:iCs/>
          <w:color w:val="4472C4" w:themeColor="accent1"/>
          <w:szCs w:val="24"/>
        </w:rPr>
        <w:t xml:space="preserve"> incidents to OHRP should</w:t>
      </w:r>
      <w:r w:rsidR="00256AF5" w:rsidRPr="00256AF5">
        <w:rPr>
          <w:rFonts w:ascii="Arial" w:hAnsi="Arial" w:cs="Arial"/>
          <w:i/>
          <w:iCs/>
          <w:color w:val="4472C4" w:themeColor="accent1"/>
          <w:szCs w:val="24"/>
        </w:rPr>
        <w:t xml:space="preserve"> also</w:t>
      </w:r>
      <w:r w:rsidR="001374D1" w:rsidRPr="00256AF5">
        <w:rPr>
          <w:rFonts w:ascii="Arial" w:hAnsi="Arial" w:cs="Arial"/>
          <w:i/>
          <w:iCs/>
          <w:color w:val="4472C4" w:themeColor="accent1"/>
          <w:szCs w:val="24"/>
        </w:rPr>
        <w:t xml:space="preserve"> be</w:t>
      </w:r>
      <w:r w:rsidR="00D01CDB" w:rsidRPr="00256AF5">
        <w:rPr>
          <w:rFonts w:ascii="Arial" w:hAnsi="Arial" w:cs="Arial"/>
          <w:i/>
          <w:iCs/>
          <w:color w:val="4472C4" w:themeColor="accent1"/>
          <w:szCs w:val="24"/>
        </w:rPr>
        <w:t xml:space="preserve"> followed</w:t>
      </w:r>
      <w:r w:rsidR="004A765F" w:rsidRPr="00256AF5">
        <w:rPr>
          <w:rFonts w:ascii="Arial" w:hAnsi="Arial" w:cs="Arial"/>
          <w:i/>
          <w:iCs/>
          <w:color w:val="4472C4" w:themeColor="accent1"/>
          <w:szCs w:val="24"/>
        </w:rPr>
        <w:t xml:space="preserve"> to </w:t>
      </w:r>
      <w:r w:rsidR="00D01CDB" w:rsidRPr="00256AF5">
        <w:rPr>
          <w:rFonts w:ascii="Arial" w:hAnsi="Arial" w:cs="Arial"/>
          <w:i/>
          <w:iCs/>
          <w:color w:val="4472C4" w:themeColor="accent1"/>
          <w:szCs w:val="24"/>
        </w:rPr>
        <w:t>provide the timeline of reporting to this regulatory body</w:t>
      </w:r>
      <w:r w:rsidR="002250D9" w:rsidRPr="00256AF5">
        <w:rPr>
          <w:rFonts w:ascii="Arial" w:hAnsi="Arial" w:cs="Arial"/>
          <w:i/>
          <w:iCs/>
          <w:color w:val="4472C4" w:themeColor="accent1"/>
          <w:szCs w:val="24"/>
        </w:rPr>
        <w:t>.</w:t>
      </w:r>
      <w:r w:rsidRPr="00256AF5">
        <w:rPr>
          <w:rFonts w:ascii="Arial" w:hAnsi="Arial" w:cs="Arial"/>
          <w:i/>
          <w:iCs/>
          <w:color w:val="4472C4" w:themeColor="accent1"/>
          <w:szCs w:val="24"/>
        </w:rPr>
        <w:t>}</w:t>
      </w:r>
    </w:p>
    <w:p w14:paraId="075CAB66" w14:textId="77777777" w:rsidR="006F402B" w:rsidRPr="00A71375" w:rsidRDefault="006F402B" w:rsidP="00F111DC">
      <w:pPr>
        <w:pStyle w:val="BodyTextSample"/>
      </w:pPr>
      <w:r w:rsidRPr="00A71375">
        <w:t>{Begin sample text}</w:t>
      </w:r>
    </w:p>
    <w:p w14:paraId="452BC381" w14:textId="476D0512" w:rsidR="006F402B" w:rsidRDefault="007F591E" w:rsidP="006F402B">
      <w:pPr>
        <w:pStyle w:val="BodyText21"/>
        <w:rPr>
          <w:rFonts w:ascii="Arial" w:eastAsia="Arial" w:hAnsi="Arial" w:cs="Arial"/>
          <w:b/>
          <w:szCs w:val="24"/>
        </w:rPr>
      </w:pPr>
      <w:r>
        <w:rPr>
          <w:rFonts w:ascii="Arial" w:eastAsia="Arial" w:hAnsi="Arial" w:cs="Arial"/>
          <w:bCs/>
          <w:szCs w:val="24"/>
        </w:rPr>
        <w:t xml:space="preserve">The study team plans to </w:t>
      </w:r>
      <w:r w:rsidR="003635ED">
        <w:rPr>
          <w:rFonts w:ascii="Arial" w:eastAsia="Arial" w:hAnsi="Arial" w:cs="Arial"/>
          <w:bCs/>
          <w:szCs w:val="24"/>
        </w:rPr>
        <w:t xml:space="preserve">comply with </w:t>
      </w:r>
      <w:r w:rsidR="001B5E5C">
        <w:rPr>
          <w:rFonts w:ascii="Arial" w:eastAsia="Arial" w:hAnsi="Arial" w:cs="Arial"/>
          <w:bCs/>
          <w:szCs w:val="24"/>
        </w:rPr>
        <w:t xml:space="preserve">research regulations and </w:t>
      </w:r>
      <w:r w:rsidR="00D605B8">
        <w:rPr>
          <w:rFonts w:ascii="Arial" w:eastAsia="Arial" w:hAnsi="Arial" w:cs="Arial"/>
          <w:bCs/>
          <w:szCs w:val="24"/>
        </w:rPr>
        <w:t>institutional policies and procedures</w:t>
      </w:r>
      <w:r w:rsidR="00575A3B">
        <w:rPr>
          <w:rFonts w:ascii="Arial" w:eastAsia="Arial" w:hAnsi="Arial" w:cs="Arial"/>
          <w:bCs/>
          <w:szCs w:val="24"/>
        </w:rPr>
        <w:t xml:space="preserve"> </w:t>
      </w:r>
      <w:r w:rsidR="00F53034">
        <w:rPr>
          <w:rFonts w:ascii="Arial" w:eastAsia="Arial" w:hAnsi="Arial" w:cs="Arial"/>
          <w:bCs/>
          <w:szCs w:val="24"/>
        </w:rPr>
        <w:t xml:space="preserve">to minimize </w:t>
      </w:r>
      <w:r w:rsidR="006B28DF">
        <w:rPr>
          <w:rFonts w:ascii="Arial" w:eastAsia="Arial" w:hAnsi="Arial" w:cs="Arial"/>
          <w:bCs/>
          <w:szCs w:val="24"/>
        </w:rPr>
        <w:t xml:space="preserve">risk to </w:t>
      </w:r>
      <w:r w:rsidR="00F0589B">
        <w:rPr>
          <w:rFonts w:ascii="Arial" w:eastAsia="Arial" w:hAnsi="Arial" w:cs="Arial"/>
          <w:bCs/>
          <w:szCs w:val="24"/>
        </w:rPr>
        <w:t>participant safety</w:t>
      </w:r>
      <w:r w:rsidR="00180C62">
        <w:rPr>
          <w:rFonts w:ascii="Arial" w:eastAsia="Arial" w:hAnsi="Arial" w:cs="Arial"/>
          <w:bCs/>
          <w:szCs w:val="24"/>
        </w:rPr>
        <w:t xml:space="preserve"> and</w:t>
      </w:r>
      <w:r w:rsidR="00F0589B">
        <w:rPr>
          <w:rFonts w:ascii="Arial" w:eastAsia="Arial" w:hAnsi="Arial" w:cs="Arial"/>
          <w:bCs/>
          <w:szCs w:val="24"/>
        </w:rPr>
        <w:t xml:space="preserve"> </w:t>
      </w:r>
      <w:r w:rsidR="00E745F3">
        <w:rPr>
          <w:rFonts w:ascii="Arial" w:eastAsia="Arial" w:hAnsi="Arial" w:cs="Arial"/>
          <w:bCs/>
          <w:szCs w:val="24"/>
        </w:rPr>
        <w:t>increase</w:t>
      </w:r>
      <w:r w:rsidR="009F4D58">
        <w:rPr>
          <w:rFonts w:ascii="Arial" w:eastAsia="Arial" w:hAnsi="Arial" w:cs="Arial"/>
          <w:bCs/>
          <w:szCs w:val="24"/>
        </w:rPr>
        <w:t xml:space="preserve"> </w:t>
      </w:r>
      <w:r w:rsidR="00F0589B">
        <w:rPr>
          <w:rFonts w:ascii="Arial" w:eastAsia="Arial" w:hAnsi="Arial" w:cs="Arial"/>
          <w:bCs/>
          <w:szCs w:val="24"/>
        </w:rPr>
        <w:t>adher</w:t>
      </w:r>
      <w:r w:rsidR="00444464">
        <w:rPr>
          <w:rFonts w:ascii="Arial" w:eastAsia="Arial" w:hAnsi="Arial" w:cs="Arial"/>
          <w:bCs/>
          <w:szCs w:val="24"/>
        </w:rPr>
        <w:t>ence</w:t>
      </w:r>
      <w:r w:rsidR="00F0589B">
        <w:rPr>
          <w:rFonts w:ascii="Arial" w:eastAsia="Arial" w:hAnsi="Arial" w:cs="Arial"/>
          <w:bCs/>
          <w:szCs w:val="24"/>
        </w:rPr>
        <w:t xml:space="preserve"> to the study protocol. However, </w:t>
      </w:r>
      <w:r w:rsidR="00075336">
        <w:rPr>
          <w:rFonts w:ascii="Arial" w:eastAsia="Arial" w:hAnsi="Arial" w:cs="Arial"/>
          <w:bCs/>
          <w:szCs w:val="24"/>
        </w:rPr>
        <w:t xml:space="preserve">if for any reason </w:t>
      </w:r>
      <w:r w:rsidR="007627E7">
        <w:rPr>
          <w:rFonts w:ascii="Arial" w:eastAsia="Arial" w:hAnsi="Arial" w:cs="Arial"/>
          <w:bCs/>
          <w:szCs w:val="24"/>
        </w:rPr>
        <w:t xml:space="preserve">the study fails to follow </w:t>
      </w:r>
      <w:r w:rsidR="00905216">
        <w:rPr>
          <w:rFonts w:ascii="Arial" w:eastAsia="Arial" w:hAnsi="Arial" w:cs="Arial"/>
          <w:bCs/>
          <w:szCs w:val="24"/>
        </w:rPr>
        <w:t xml:space="preserve">the applicable laws, </w:t>
      </w:r>
      <w:r w:rsidR="00905216">
        <w:rPr>
          <w:rFonts w:ascii="Arial" w:eastAsia="Arial" w:hAnsi="Arial" w:cs="Arial"/>
          <w:bCs/>
          <w:szCs w:val="24"/>
        </w:rPr>
        <w:lastRenderedPageBreak/>
        <w:t>policies, regulations</w:t>
      </w:r>
      <w:r w:rsidR="00256AF5">
        <w:rPr>
          <w:rFonts w:ascii="Arial" w:eastAsia="Arial" w:hAnsi="Arial" w:cs="Arial"/>
          <w:bCs/>
          <w:szCs w:val="24"/>
        </w:rPr>
        <w:t>,</w:t>
      </w:r>
      <w:r w:rsidR="00905216">
        <w:rPr>
          <w:rFonts w:ascii="Arial" w:eastAsia="Arial" w:hAnsi="Arial" w:cs="Arial"/>
          <w:bCs/>
          <w:szCs w:val="24"/>
        </w:rPr>
        <w:t xml:space="preserve"> or the provisions of the IRB-approved research study, </w:t>
      </w:r>
      <w:r w:rsidR="00743193">
        <w:rPr>
          <w:rFonts w:ascii="Arial" w:eastAsia="Arial" w:hAnsi="Arial" w:cs="Arial"/>
          <w:bCs/>
          <w:szCs w:val="24"/>
        </w:rPr>
        <w:t xml:space="preserve">it will report </w:t>
      </w:r>
      <w:r w:rsidR="00806531">
        <w:rPr>
          <w:rFonts w:ascii="Arial" w:eastAsia="Arial" w:hAnsi="Arial" w:cs="Arial"/>
          <w:bCs/>
          <w:szCs w:val="24"/>
        </w:rPr>
        <w:t xml:space="preserve">the event as a </w:t>
      </w:r>
      <w:r w:rsidR="00982F11" w:rsidRPr="000E7531">
        <w:rPr>
          <w:rFonts w:ascii="Arial" w:eastAsia="Arial" w:hAnsi="Arial" w:cs="Arial"/>
          <w:bCs/>
          <w:szCs w:val="24"/>
        </w:rPr>
        <w:t xml:space="preserve">noncompliance </w:t>
      </w:r>
      <w:r w:rsidR="00D63ADF">
        <w:rPr>
          <w:rFonts w:ascii="Arial" w:eastAsia="Arial" w:hAnsi="Arial" w:cs="Arial"/>
          <w:bCs/>
          <w:szCs w:val="24"/>
        </w:rPr>
        <w:t>(s</w:t>
      </w:r>
      <w:r w:rsidR="00D63ADF" w:rsidRPr="000E7531">
        <w:rPr>
          <w:rFonts w:ascii="Arial" w:eastAsia="Arial" w:hAnsi="Arial" w:cs="Arial"/>
          <w:bCs/>
          <w:szCs w:val="24"/>
        </w:rPr>
        <w:t>erious or continuing</w:t>
      </w:r>
      <w:r w:rsidR="00D63ADF">
        <w:rPr>
          <w:rFonts w:ascii="Arial" w:eastAsia="Arial" w:hAnsi="Arial" w:cs="Arial"/>
          <w:bCs/>
          <w:szCs w:val="24"/>
        </w:rPr>
        <w:t>)</w:t>
      </w:r>
      <w:r w:rsidR="00075336">
        <w:rPr>
          <w:rFonts w:ascii="Arial" w:eastAsia="Arial" w:hAnsi="Arial" w:cs="Arial"/>
          <w:bCs/>
          <w:szCs w:val="24"/>
        </w:rPr>
        <w:t xml:space="preserve"> </w:t>
      </w:r>
      <w:r w:rsidR="00CC68E8">
        <w:rPr>
          <w:rFonts w:ascii="Arial" w:eastAsia="Arial" w:hAnsi="Arial" w:cs="Arial"/>
          <w:bCs/>
          <w:szCs w:val="24"/>
        </w:rPr>
        <w:t xml:space="preserve">to all the </w:t>
      </w:r>
      <w:r w:rsidR="000473B6">
        <w:rPr>
          <w:rFonts w:ascii="Arial" w:eastAsia="Arial" w:hAnsi="Arial" w:cs="Arial"/>
          <w:bCs/>
          <w:szCs w:val="24"/>
        </w:rPr>
        <w:t>oversight</w:t>
      </w:r>
      <w:r w:rsidR="00CC68E8">
        <w:rPr>
          <w:rFonts w:ascii="Arial" w:eastAsia="Arial" w:hAnsi="Arial" w:cs="Arial"/>
          <w:bCs/>
          <w:szCs w:val="24"/>
        </w:rPr>
        <w:t xml:space="preserve"> bodies</w:t>
      </w:r>
      <w:r w:rsidR="00256AF5">
        <w:rPr>
          <w:rFonts w:ascii="Arial" w:eastAsia="Arial" w:hAnsi="Arial" w:cs="Arial"/>
          <w:bCs/>
          <w:szCs w:val="24"/>
        </w:rPr>
        <w:t>,</w:t>
      </w:r>
      <w:r w:rsidR="00CC68E8">
        <w:rPr>
          <w:rFonts w:ascii="Arial" w:eastAsia="Arial" w:hAnsi="Arial" w:cs="Arial"/>
          <w:bCs/>
          <w:szCs w:val="24"/>
        </w:rPr>
        <w:t xml:space="preserve"> </w:t>
      </w:r>
      <w:r w:rsidR="004C2623">
        <w:rPr>
          <w:rFonts w:ascii="Arial" w:eastAsia="Arial" w:hAnsi="Arial" w:cs="Arial"/>
          <w:bCs/>
          <w:szCs w:val="24"/>
        </w:rPr>
        <w:t xml:space="preserve">including </w:t>
      </w:r>
      <w:r w:rsidR="006E7644">
        <w:rPr>
          <w:rFonts w:ascii="Arial" w:eastAsia="Arial" w:hAnsi="Arial" w:cs="Arial"/>
          <w:bCs/>
          <w:szCs w:val="24"/>
        </w:rPr>
        <w:t xml:space="preserve">but not limited to </w:t>
      </w:r>
      <w:r w:rsidR="004C2623">
        <w:rPr>
          <w:rFonts w:ascii="Arial" w:eastAsia="Arial" w:hAnsi="Arial" w:cs="Arial"/>
          <w:bCs/>
          <w:szCs w:val="24"/>
        </w:rPr>
        <w:t>the IRB, NIAMS</w:t>
      </w:r>
      <w:r w:rsidR="00256AF5">
        <w:rPr>
          <w:rFonts w:ascii="Arial" w:eastAsia="Arial" w:hAnsi="Arial" w:cs="Arial"/>
          <w:bCs/>
          <w:szCs w:val="24"/>
        </w:rPr>
        <w:t>,</w:t>
      </w:r>
      <w:r w:rsidR="004C2623">
        <w:rPr>
          <w:rFonts w:ascii="Arial" w:eastAsia="Arial" w:hAnsi="Arial" w:cs="Arial"/>
          <w:bCs/>
          <w:szCs w:val="24"/>
        </w:rPr>
        <w:t xml:space="preserve"> and OHRP. </w:t>
      </w:r>
      <w:r w:rsidR="00AE0D15">
        <w:rPr>
          <w:rFonts w:ascii="Arial" w:eastAsia="Arial" w:hAnsi="Arial" w:cs="Arial"/>
          <w:bCs/>
          <w:szCs w:val="24"/>
        </w:rPr>
        <w:t>Per institutional policy, t</w:t>
      </w:r>
      <w:r w:rsidR="004C2623">
        <w:rPr>
          <w:rFonts w:ascii="Arial" w:eastAsia="Arial" w:hAnsi="Arial" w:cs="Arial"/>
          <w:bCs/>
          <w:szCs w:val="24"/>
        </w:rPr>
        <w:t xml:space="preserve">he investigator will </w:t>
      </w:r>
      <w:r w:rsidR="00AE0D15">
        <w:rPr>
          <w:rFonts w:ascii="Arial" w:eastAsia="Arial" w:hAnsi="Arial" w:cs="Arial"/>
          <w:bCs/>
          <w:szCs w:val="24"/>
        </w:rPr>
        <w:t>report the event</w:t>
      </w:r>
      <w:r w:rsidR="007C132C">
        <w:rPr>
          <w:rFonts w:ascii="Arial" w:eastAsia="Arial" w:hAnsi="Arial" w:cs="Arial"/>
          <w:bCs/>
          <w:szCs w:val="24"/>
        </w:rPr>
        <w:t xml:space="preserve"> to the IRB within 48 hours of becoming aware of the </w:t>
      </w:r>
      <w:r w:rsidR="00F24D1A">
        <w:rPr>
          <w:rFonts w:ascii="Arial" w:eastAsia="Arial" w:hAnsi="Arial" w:cs="Arial"/>
          <w:bCs/>
          <w:szCs w:val="24"/>
        </w:rPr>
        <w:t>noncompliance.</w:t>
      </w:r>
      <w:r w:rsidR="005142E4">
        <w:rPr>
          <w:rFonts w:ascii="Arial" w:eastAsia="Arial" w:hAnsi="Arial" w:cs="Arial"/>
          <w:bCs/>
          <w:szCs w:val="24"/>
        </w:rPr>
        <w:t xml:space="preserve"> If the IRB </w:t>
      </w:r>
      <w:proofErr w:type="gramStart"/>
      <w:r w:rsidR="005239AC">
        <w:rPr>
          <w:rFonts w:ascii="Arial" w:eastAsia="Arial" w:hAnsi="Arial" w:cs="Arial"/>
          <w:bCs/>
          <w:szCs w:val="24"/>
        </w:rPr>
        <w:t>makes a determination</w:t>
      </w:r>
      <w:proofErr w:type="gramEnd"/>
      <w:r w:rsidR="005239AC">
        <w:rPr>
          <w:rFonts w:ascii="Arial" w:eastAsia="Arial" w:hAnsi="Arial" w:cs="Arial"/>
          <w:bCs/>
          <w:szCs w:val="24"/>
        </w:rPr>
        <w:t xml:space="preserve"> </w:t>
      </w:r>
      <w:r w:rsidR="00606C2D">
        <w:rPr>
          <w:rFonts w:ascii="Arial" w:eastAsia="Arial" w:hAnsi="Arial" w:cs="Arial"/>
          <w:bCs/>
          <w:szCs w:val="24"/>
        </w:rPr>
        <w:t xml:space="preserve">that the event is </w:t>
      </w:r>
      <w:r w:rsidR="00FB1C2B">
        <w:rPr>
          <w:rFonts w:ascii="Arial" w:eastAsia="Arial" w:hAnsi="Arial" w:cs="Arial"/>
          <w:bCs/>
          <w:szCs w:val="24"/>
        </w:rPr>
        <w:t xml:space="preserve">a result of </w:t>
      </w:r>
      <w:r w:rsidR="005142E4">
        <w:rPr>
          <w:rFonts w:ascii="Arial" w:eastAsia="Arial" w:hAnsi="Arial" w:cs="Arial"/>
          <w:bCs/>
          <w:szCs w:val="24"/>
        </w:rPr>
        <w:t>noncompliance</w:t>
      </w:r>
      <w:r w:rsidR="00B11D9F">
        <w:rPr>
          <w:rFonts w:ascii="Arial" w:eastAsia="Arial" w:hAnsi="Arial" w:cs="Arial"/>
          <w:bCs/>
          <w:szCs w:val="24"/>
        </w:rPr>
        <w:t xml:space="preserve"> (either serious or continuing)</w:t>
      </w:r>
      <w:r w:rsidR="005142E4">
        <w:rPr>
          <w:rFonts w:ascii="Arial" w:eastAsia="Arial" w:hAnsi="Arial" w:cs="Arial"/>
          <w:bCs/>
          <w:szCs w:val="24"/>
        </w:rPr>
        <w:t xml:space="preserve">, </w:t>
      </w:r>
      <w:r w:rsidR="00B04083">
        <w:rPr>
          <w:rFonts w:ascii="Arial" w:eastAsia="Arial" w:hAnsi="Arial" w:cs="Arial"/>
          <w:bCs/>
          <w:szCs w:val="24"/>
        </w:rPr>
        <w:t xml:space="preserve">it will be </w:t>
      </w:r>
      <w:r w:rsidR="00982F11" w:rsidRPr="000E7531">
        <w:rPr>
          <w:rFonts w:ascii="Arial" w:eastAsia="Arial" w:hAnsi="Arial" w:cs="Arial"/>
          <w:bCs/>
          <w:szCs w:val="24"/>
        </w:rPr>
        <w:t xml:space="preserve">reported to the NIAMS Program Officer and Grants Management Specialist within 3 business days of IRB determination. A copy of the IRB submission and determination </w:t>
      </w:r>
      <w:r w:rsidR="0012197C">
        <w:rPr>
          <w:rFonts w:ascii="Arial" w:eastAsia="Arial" w:hAnsi="Arial" w:cs="Arial"/>
          <w:bCs/>
          <w:szCs w:val="24"/>
        </w:rPr>
        <w:t>will</w:t>
      </w:r>
      <w:r w:rsidR="00982F11" w:rsidRPr="000E7531">
        <w:rPr>
          <w:rFonts w:ascii="Arial" w:eastAsia="Arial" w:hAnsi="Arial" w:cs="Arial"/>
          <w:bCs/>
          <w:szCs w:val="24"/>
        </w:rPr>
        <w:t xml:space="preserve"> be submitted along with the report</w:t>
      </w:r>
      <w:r w:rsidR="0012197C">
        <w:rPr>
          <w:rFonts w:ascii="Arial" w:eastAsia="Arial" w:hAnsi="Arial" w:cs="Arial"/>
          <w:bCs/>
          <w:szCs w:val="24"/>
        </w:rPr>
        <w:t>.</w:t>
      </w:r>
      <w:r w:rsidR="00E80EEB">
        <w:rPr>
          <w:rFonts w:ascii="Arial" w:eastAsia="Arial" w:hAnsi="Arial" w:cs="Arial"/>
          <w:bCs/>
          <w:szCs w:val="24"/>
        </w:rPr>
        <w:t xml:space="preserve"> The OHRP will </w:t>
      </w:r>
      <w:r w:rsidR="001949BB">
        <w:rPr>
          <w:rFonts w:ascii="Arial" w:eastAsia="Arial" w:hAnsi="Arial" w:cs="Arial"/>
          <w:bCs/>
          <w:szCs w:val="24"/>
        </w:rPr>
        <w:t xml:space="preserve">also </w:t>
      </w:r>
      <w:r w:rsidR="00E80EEB">
        <w:rPr>
          <w:rFonts w:ascii="Arial" w:eastAsia="Arial" w:hAnsi="Arial" w:cs="Arial"/>
          <w:bCs/>
          <w:szCs w:val="24"/>
        </w:rPr>
        <w:t xml:space="preserve">be notified </w:t>
      </w:r>
      <w:r w:rsidR="001949BB" w:rsidRPr="000E7531">
        <w:rPr>
          <w:rFonts w:ascii="Arial" w:eastAsia="Arial" w:hAnsi="Arial" w:cs="Arial"/>
          <w:bCs/>
          <w:szCs w:val="24"/>
        </w:rPr>
        <w:t>within 3 business days of IRB determination</w:t>
      </w:r>
      <w:r w:rsidR="001949BB">
        <w:rPr>
          <w:rFonts w:ascii="Arial" w:eastAsia="Arial" w:hAnsi="Arial" w:cs="Arial"/>
          <w:bCs/>
          <w:szCs w:val="24"/>
        </w:rPr>
        <w:t>.</w:t>
      </w:r>
    </w:p>
    <w:p w14:paraId="563C505E" w14:textId="77777777" w:rsidR="006F402B" w:rsidRPr="00A71375" w:rsidRDefault="006F402B" w:rsidP="006F402B">
      <w:pPr>
        <w:pStyle w:val="BodyText21"/>
        <w:rPr>
          <w:rFonts w:ascii="Arial" w:hAnsi="Arial" w:cs="Arial"/>
          <w:b/>
          <w:i/>
          <w:color w:val="4472C4" w:themeColor="accent1"/>
          <w:szCs w:val="24"/>
        </w:rPr>
      </w:pPr>
      <w:r w:rsidRPr="00A71375">
        <w:rPr>
          <w:rFonts w:ascii="Arial" w:hAnsi="Arial" w:cs="Arial"/>
          <w:b/>
          <w:i/>
          <w:color w:val="4472C4" w:themeColor="accent1"/>
          <w:szCs w:val="24"/>
        </w:rPr>
        <w:t>{End sample text}</w:t>
      </w:r>
    </w:p>
    <w:p w14:paraId="57781683" w14:textId="6DE14D40" w:rsidR="006F402B" w:rsidRPr="00A76B62" w:rsidRDefault="006F402B" w:rsidP="00976B21">
      <w:pPr>
        <w:pStyle w:val="Heading3"/>
      </w:pPr>
      <w:bookmarkStart w:id="31" w:name="_Toc50553255"/>
      <w:r w:rsidRPr="00A76B62">
        <w:t xml:space="preserve">3.3.6 Suspension or Termination </w:t>
      </w:r>
      <w:r w:rsidR="00C30AC9" w:rsidRPr="00A76B62">
        <w:t xml:space="preserve">of IRB </w:t>
      </w:r>
      <w:r w:rsidR="00256AF5" w:rsidRPr="00A76B62">
        <w:t>A</w:t>
      </w:r>
      <w:r w:rsidR="00C30AC9" w:rsidRPr="00A76B62">
        <w:t>pproval</w:t>
      </w:r>
      <w:bookmarkEnd w:id="31"/>
    </w:p>
    <w:p w14:paraId="476C8CD6" w14:textId="587637A3" w:rsidR="006F402B" w:rsidRPr="00256AF5" w:rsidRDefault="006F402B" w:rsidP="00F111DC">
      <w:pPr>
        <w:pStyle w:val="BodyTextblue"/>
      </w:pPr>
      <w:r w:rsidRPr="00256AF5">
        <w:t>{Th</w:t>
      </w:r>
      <w:r w:rsidR="004D66CA" w:rsidRPr="00256AF5">
        <w:t>is</w:t>
      </w:r>
      <w:r w:rsidRPr="00256AF5">
        <w:t xml:space="preserve"> section should include the process </w:t>
      </w:r>
      <w:r w:rsidR="00310DC7" w:rsidRPr="00256AF5">
        <w:t>for reporting</w:t>
      </w:r>
      <w:r w:rsidRPr="00256AF5">
        <w:t xml:space="preserve"> study suspen</w:t>
      </w:r>
      <w:r w:rsidR="00DE7F5B" w:rsidRPr="00256AF5">
        <w:t>sion</w:t>
      </w:r>
      <w:r w:rsidRPr="00256AF5">
        <w:t xml:space="preserve"> or terminat</w:t>
      </w:r>
      <w:r w:rsidR="00DE7F5B" w:rsidRPr="00256AF5">
        <w:t>ion</w:t>
      </w:r>
      <w:r w:rsidRPr="00256AF5">
        <w:t xml:space="preserve"> by the IRB. It should</w:t>
      </w:r>
      <w:r w:rsidR="00DE1DB0" w:rsidRPr="00256AF5">
        <w:t xml:space="preserve"> also</w:t>
      </w:r>
      <w:r w:rsidRPr="00256AF5">
        <w:t xml:space="preserve"> include who is responsible for reporting to the NIAMS, OHRP</w:t>
      </w:r>
      <w:r w:rsidR="00256AF5" w:rsidRPr="00256AF5">
        <w:t>,</w:t>
      </w:r>
      <w:r w:rsidRPr="00256AF5">
        <w:t xml:space="preserve"> and the timeline for reporting</w:t>
      </w:r>
      <w:r w:rsidR="00DE1DB0" w:rsidRPr="00256AF5">
        <w:t xml:space="preserve"> of</w:t>
      </w:r>
      <w:r w:rsidRPr="00256AF5">
        <w:t xml:space="preserve"> these events</w:t>
      </w:r>
      <w:r w:rsidR="002250D9" w:rsidRPr="00256AF5">
        <w:t>.</w:t>
      </w:r>
      <w:r w:rsidR="004D66CA" w:rsidRPr="00256AF5">
        <w:t xml:space="preserve"> </w:t>
      </w:r>
      <w:r w:rsidR="00D61CFC" w:rsidRPr="00256AF5">
        <w:t>Su</w:t>
      </w:r>
      <w:r w:rsidR="002250D9" w:rsidRPr="00256AF5">
        <w:t xml:space="preserve">spension or termination of </w:t>
      </w:r>
      <w:r w:rsidR="00DE7F5B" w:rsidRPr="00256AF5">
        <w:t xml:space="preserve">IRB </w:t>
      </w:r>
      <w:r w:rsidR="002250D9" w:rsidRPr="00256AF5">
        <w:t>approval must include a statement of the reason(s) for the action and must be reported promptly to the NIAMS Program Officer and Grants Management Specialist within 3 business days of receipt by the PI</w:t>
      </w:r>
      <w:r w:rsidRPr="00256AF5">
        <w:t>.}</w:t>
      </w:r>
    </w:p>
    <w:p w14:paraId="4F8DC094" w14:textId="77777777" w:rsidR="006F402B" w:rsidRDefault="006F402B" w:rsidP="00F111DC">
      <w:pPr>
        <w:pStyle w:val="BodyTextSample"/>
        <w:rPr>
          <w:rFonts w:eastAsia="Arial"/>
        </w:rPr>
      </w:pPr>
      <w:r w:rsidRPr="00A71375">
        <w:t>{Begin sample text}</w:t>
      </w:r>
    </w:p>
    <w:p w14:paraId="6D908F53" w14:textId="42E27FEB" w:rsidR="006F402B" w:rsidRDefault="002127A3" w:rsidP="006F402B">
      <w:pPr>
        <w:pStyle w:val="BodyText21"/>
        <w:rPr>
          <w:rFonts w:ascii="Arial" w:eastAsia="Arial" w:hAnsi="Arial" w:cs="Arial"/>
          <w:b/>
        </w:rPr>
      </w:pPr>
      <w:r w:rsidRPr="165F076A">
        <w:rPr>
          <w:rFonts w:ascii="Arial" w:eastAsia="Arial" w:hAnsi="Arial" w:cs="Arial"/>
        </w:rPr>
        <w:t xml:space="preserve">If </w:t>
      </w:r>
      <w:r w:rsidR="008D4850" w:rsidRPr="165F076A">
        <w:rPr>
          <w:rFonts w:ascii="Arial" w:eastAsia="Arial" w:hAnsi="Arial" w:cs="Arial"/>
        </w:rPr>
        <w:t xml:space="preserve">the </w:t>
      </w:r>
      <w:r w:rsidR="00E03838" w:rsidRPr="165F076A">
        <w:rPr>
          <w:rFonts w:ascii="Arial" w:eastAsia="Arial" w:hAnsi="Arial" w:cs="Arial"/>
        </w:rPr>
        <w:t xml:space="preserve">IRB suspends or </w:t>
      </w:r>
      <w:r w:rsidR="00282AB0" w:rsidRPr="165F076A">
        <w:rPr>
          <w:rFonts w:ascii="Arial" w:eastAsia="Arial" w:hAnsi="Arial" w:cs="Arial"/>
        </w:rPr>
        <w:t>terminates the study,</w:t>
      </w:r>
      <w:r w:rsidR="001949BB" w:rsidRPr="165F076A">
        <w:rPr>
          <w:rFonts w:ascii="Arial" w:eastAsia="Arial" w:hAnsi="Arial" w:cs="Arial"/>
        </w:rPr>
        <w:t xml:space="preserve"> the investigator will adhere to </w:t>
      </w:r>
      <w:r w:rsidR="00940F45" w:rsidRPr="165F076A">
        <w:rPr>
          <w:rFonts w:ascii="Arial" w:eastAsia="Arial" w:hAnsi="Arial" w:cs="Arial"/>
        </w:rPr>
        <w:t xml:space="preserve">requirements for </w:t>
      </w:r>
      <w:r w:rsidR="001949BB" w:rsidRPr="165F076A">
        <w:rPr>
          <w:rFonts w:ascii="Arial" w:eastAsia="Arial" w:hAnsi="Arial" w:cs="Arial"/>
        </w:rPr>
        <w:t xml:space="preserve">reporting </w:t>
      </w:r>
      <w:r w:rsidR="00E97FE4" w:rsidRPr="165F076A">
        <w:rPr>
          <w:rFonts w:ascii="Arial" w:eastAsia="Arial" w:hAnsi="Arial" w:cs="Arial"/>
        </w:rPr>
        <w:t xml:space="preserve">to all </w:t>
      </w:r>
      <w:r w:rsidR="000473B6" w:rsidRPr="165F076A">
        <w:rPr>
          <w:rFonts w:ascii="Arial" w:eastAsia="Arial" w:hAnsi="Arial" w:cs="Arial"/>
        </w:rPr>
        <w:t xml:space="preserve">oversight </w:t>
      </w:r>
      <w:r w:rsidR="001949BB" w:rsidRPr="165F076A">
        <w:rPr>
          <w:rFonts w:ascii="Arial" w:eastAsia="Arial" w:hAnsi="Arial" w:cs="Arial"/>
        </w:rPr>
        <w:t>bodies</w:t>
      </w:r>
      <w:r w:rsidR="00256AF5">
        <w:rPr>
          <w:rFonts w:ascii="Arial" w:eastAsia="Arial" w:hAnsi="Arial" w:cs="Arial"/>
        </w:rPr>
        <w:t>,</w:t>
      </w:r>
      <w:r w:rsidR="001949BB" w:rsidRPr="165F076A">
        <w:rPr>
          <w:rFonts w:ascii="Arial" w:eastAsia="Arial" w:hAnsi="Arial" w:cs="Arial"/>
        </w:rPr>
        <w:t xml:space="preserve"> including</w:t>
      </w:r>
      <w:r w:rsidR="00256AF5">
        <w:rPr>
          <w:rFonts w:ascii="Arial" w:eastAsia="Arial" w:hAnsi="Arial" w:cs="Arial"/>
        </w:rPr>
        <w:t xml:space="preserve"> but not limited to</w:t>
      </w:r>
      <w:r w:rsidR="001949BB" w:rsidRPr="165F076A">
        <w:rPr>
          <w:rFonts w:ascii="Arial" w:eastAsia="Arial" w:hAnsi="Arial" w:cs="Arial"/>
        </w:rPr>
        <w:t xml:space="preserve"> the NIAMS and OHRP. Suspension or termination of approval </w:t>
      </w:r>
      <w:r w:rsidR="009F2671" w:rsidRPr="165F076A">
        <w:rPr>
          <w:rFonts w:ascii="Arial" w:eastAsia="Arial" w:hAnsi="Arial" w:cs="Arial"/>
        </w:rPr>
        <w:t xml:space="preserve">will </w:t>
      </w:r>
      <w:r w:rsidR="001949BB" w:rsidRPr="165F076A">
        <w:rPr>
          <w:rFonts w:ascii="Arial" w:eastAsia="Arial" w:hAnsi="Arial" w:cs="Arial"/>
        </w:rPr>
        <w:t xml:space="preserve">include a statement of the reason(s) for the action and </w:t>
      </w:r>
      <w:r w:rsidR="008E556D" w:rsidRPr="165F076A">
        <w:rPr>
          <w:rFonts w:ascii="Arial" w:eastAsia="Arial" w:hAnsi="Arial" w:cs="Arial"/>
        </w:rPr>
        <w:t>will</w:t>
      </w:r>
      <w:r w:rsidR="001949BB" w:rsidRPr="165F076A">
        <w:rPr>
          <w:rFonts w:ascii="Arial" w:eastAsia="Arial" w:hAnsi="Arial" w:cs="Arial"/>
        </w:rPr>
        <w:t xml:space="preserve"> be reported to the NIAMS Program Officer and Grants Management Specialist within 3 business days of receipt by the PI. The OHRP will also be notified</w:t>
      </w:r>
      <w:r w:rsidR="00EF63DD" w:rsidRPr="165F076A">
        <w:rPr>
          <w:rFonts w:ascii="Arial" w:eastAsia="Arial" w:hAnsi="Arial" w:cs="Arial"/>
        </w:rPr>
        <w:t>, at the same,</w:t>
      </w:r>
      <w:r w:rsidR="001949BB" w:rsidRPr="165F076A">
        <w:rPr>
          <w:rFonts w:ascii="Arial" w:eastAsia="Arial" w:hAnsi="Arial" w:cs="Arial"/>
        </w:rPr>
        <w:t xml:space="preserve"> within 3 business days of </w:t>
      </w:r>
      <w:r w:rsidR="000E229D" w:rsidRPr="165F076A">
        <w:rPr>
          <w:rFonts w:ascii="Arial" w:eastAsia="Arial" w:hAnsi="Arial" w:cs="Arial"/>
        </w:rPr>
        <w:t>receipt by the PI</w:t>
      </w:r>
      <w:r w:rsidR="001949BB" w:rsidRPr="165F076A">
        <w:rPr>
          <w:rFonts w:ascii="Arial" w:eastAsia="Arial" w:hAnsi="Arial" w:cs="Arial"/>
        </w:rPr>
        <w:t>.</w:t>
      </w:r>
    </w:p>
    <w:p w14:paraId="264002F4" w14:textId="77777777" w:rsidR="006F402B" w:rsidRPr="00A71375" w:rsidRDefault="006F402B" w:rsidP="00F111DC">
      <w:pPr>
        <w:pStyle w:val="BodyTextSample"/>
      </w:pPr>
      <w:r w:rsidRPr="00A71375">
        <w:t>{End sample text}</w:t>
      </w:r>
    </w:p>
    <w:p w14:paraId="02826D0F" w14:textId="239E1EC5" w:rsidR="00504227" w:rsidRPr="00A71375" w:rsidRDefault="00093662" w:rsidP="00D711C0">
      <w:pPr>
        <w:pStyle w:val="Heading1"/>
      </w:pPr>
      <w:bookmarkStart w:id="32" w:name="_Toc193777359"/>
      <w:bookmarkStart w:id="33" w:name="_Toc50553256"/>
      <w:r w:rsidRPr="00A71375">
        <w:t>4</w:t>
      </w:r>
      <w:r w:rsidR="00504227" w:rsidRPr="00A71375">
        <w:t>.0 INTERIM Analysis</w:t>
      </w:r>
      <w:bookmarkEnd w:id="32"/>
      <w:r w:rsidR="00C53DA9" w:rsidRPr="00A71375">
        <w:t xml:space="preserve"> &amp; stopping rules</w:t>
      </w:r>
      <w:bookmarkEnd w:id="33"/>
    </w:p>
    <w:p w14:paraId="6CD0FBAA" w14:textId="3F19511E" w:rsidR="00DF5F85" w:rsidRPr="00A71375" w:rsidRDefault="00EB1C79" w:rsidP="00EE1631">
      <w:pPr>
        <w:pStyle w:val="BodyTextblue"/>
      </w:pPr>
      <w:r w:rsidRPr="00A71375">
        <w:t>{</w:t>
      </w:r>
      <w:r w:rsidR="00504227" w:rsidRPr="00A71375">
        <w:t>This section provides information on planned interim analysis</w:t>
      </w:r>
      <w:r w:rsidR="00A46A46" w:rsidRPr="00A71375">
        <w:t xml:space="preserve">. </w:t>
      </w:r>
      <w:bookmarkStart w:id="34" w:name="_Toc193777361"/>
      <w:r w:rsidR="00C53DA9" w:rsidRPr="00A71375">
        <w:t>Interim analysis may be conducted either due to pre-specified stopping rules as outlined in the protocol and at predetermined intervals, or as determined n</w:t>
      </w:r>
      <w:r w:rsidR="008853D4" w:rsidRPr="00A71375">
        <w:t xml:space="preserve">ecessary by the </w:t>
      </w:r>
      <w:r w:rsidR="00CB2A48" w:rsidRPr="00A71375">
        <w:t>M</w:t>
      </w:r>
      <w:r w:rsidR="008853D4" w:rsidRPr="00A71375">
        <w:t xml:space="preserve">onitoring </w:t>
      </w:r>
      <w:r w:rsidR="00CB2A48" w:rsidRPr="00A71375">
        <w:t xml:space="preserve">Body </w:t>
      </w:r>
      <w:r w:rsidR="00C53DA9" w:rsidRPr="00A71375">
        <w:t xml:space="preserve">to assess safety concerns or study futility based upon accumulating data. An interim analysis may be performed for safety, efficacy and/or futility, and the reports are prepared by the unmasked study statistician or data coordinating center responsible for generating such reports. </w:t>
      </w:r>
      <w:r w:rsidR="00A46A46" w:rsidRPr="00A71375">
        <w:t>Rules for stopping the study, based on interim analysis, should be described.</w:t>
      </w:r>
    </w:p>
    <w:p w14:paraId="3E9DF662" w14:textId="36268CAB" w:rsidR="00504227" w:rsidRPr="00A71375" w:rsidRDefault="00DF5F85" w:rsidP="00A44F70">
      <w:pPr>
        <w:pStyle w:val="BodyText"/>
      </w:pPr>
      <w:r w:rsidRPr="00A71375">
        <w:t>If no interim analysis is planned, this should be noted within this section.</w:t>
      </w:r>
      <w:r w:rsidR="00EB1C79" w:rsidRPr="00A71375">
        <w:t>}</w:t>
      </w:r>
    </w:p>
    <w:p w14:paraId="4F0417EA" w14:textId="2374719C" w:rsidR="00EB1C79" w:rsidRPr="00A71375" w:rsidRDefault="00EB1C79" w:rsidP="00F111DC">
      <w:pPr>
        <w:pStyle w:val="BodyTextSample"/>
        <w:keepNext/>
        <w:ind w:right="-14"/>
      </w:pPr>
      <w:r w:rsidRPr="00A71375">
        <w:lastRenderedPageBreak/>
        <w:t>{Begin sample text}</w:t>
      </w:r>
    </w:p>
    <w:p w14:paraId="7A3040FD" w14:textId="02075AA4" w:rsidR="00504227" w:rsidRPr="00A71375" w:rsidRDefault="00504227" w:rsidP="00F111DC">
      <w:pPr>
        <w:pStyle w:val="BodyText"/>
      </w:pPr>
      <w:r w:rsidRPr="00A71375">
        <w:t xml:space="preserve">Interim analysis of the study is planned according to the alpha spending rule [Lan and </w:t>
      </w:r>
      <w:proofErr w:type="spellStart"/>
      <w:r w:rsidRPr="00A71375">
        <w:t>DeMets</w:t>
      </w:r>
      <w:proofErr w:type="spellEnd"/>
      <w:r w:rsidR="001D6327" w:rsidRPr="00A71375">
        <w:t>, 1994</w:t>
      </w:r>
      <w:r w:rsidRPr="00A71375">
        <w:t>]. The proportion of expected events is considered as the information statistic. The p-values are constructed to maintain the overall study power of 0.05, two-sided. If the test statistic exceeds the boundary, then the study could be considered for early termination due to emerging differences. The interim look is recommended at the end of year one as we expect approximately 50% of the pa</w:t>
      </w:r>
      <w:r w:rsidR="00324FEE" w:rsidRPr="00A71375">
        <w:t>rticipant</w:t>
      </w:r>
      <w:r w:rsidRPr="00A71375">
        <w:t xml:space="preserve">s followed for at least six months. </w:t>
      </w:r>
    </w:p>
    <w:p w14:paraId="27B96BFE" w14:textId="3178C237" w:rsidR="00EB1C79" w:rsidRPr="00A71375" w:rsidRDefault="00EB1C79" w:rsidP="00F111DC">
      <w:pPr>
        <w:pStyle w:val="BodyTextSample"/>
      </w:pPr>
      <w:r w:rsidRPr="00A71375">
        <w:t>{End sample text}</w:t>
      </w:r>
    </w:p>
    <w:p w14:paraId="0E6EFFA9" w14:textId="07B4E2AA" w:rsidR="00504227" w:rsidRPr="00A71375" w:rsidRDefault="00093662" w:rsidP="00D711C0">
      <w:pPr>
        <w:pStyle w:val="Heading1"/>
      </w:pPr>
      <w:bookmarkStart w:id="35" w:name="_Toc50553257"/>
      <w:r w:rsidRPr="00A71375">
        <w:t>5</w:t>
      </w:r>
      <w:r w:rsidR="00504227" w:rsidRPr="00A71375">
        <w:t>.0 Data and Safety monitoring</w:t>
      </w:r>
      <w:bookmarkEnd w:id="35"/>
      <w:r w:rsidR="00504227" w:rsidRPr="00A71375">
        <w:t xml:space="preserve"> </w:t>
      </w:r>
    </w:p>
    <w:bookmarkEnd w:id="34"/>
    <w:p w14:paraId="27F7935B" w14:textId="4949BF12" w:rsidR="00504227" w:rsidRPr="00A71375" w:rsidRDefault="00EB1C79" w:rsidP="00EE1631">
      <w:pPr>
        <w:pStyle w:val="BodyTextblue"/>
      </w:pPr>
      <w:r w:rsidRPr="00A71375">
        <w:t>{</w:t>
      </w:r>
      <w:r w:rsidR="00504227" w:rsidRPr="00A71375">
        <w:t xml:space="preserve">This section </w:t>
      </w:r>
      <w:r w:rsidR="00A46A46" w:rsidRPr="00A71375">
        <w:t xml:space="preserve">identifies the name of the individual or entity </w:t>
      </w:r>
      <w:r w:rsidR="00504227" w:rsidRPr="00A71375">
        <w:t>responsible for data and safety monitoring</w:t>
      </w:r>
      <w:r w:rsidR="00887D72" w:rsidRPr="00A71375">
        <w:t>,</w:t>
      </w:r>
      <w:r w:rsidR="00504227" w:rsidRPr="00A71375">
        <w:t xml:space="preserve"> </w:t>
      </w:r>
      <w:r w:rsidR="00A46A46" w:rsidRPr="00A71375">
        <w:t>what</w:t>
      </w:r>
      <w:r w:rsidR="00504227" w:rsidRPr="00A71375">
        <w:t xml:space="preserve"> information will be reviewed</w:t>
      </w:r>
      <w:r w:rsidR="00DF5F85" w:rsidRPr="00A71375">
        <w:t>,</w:t>
      </w:r>
      <w:r w:rsidR="00504227" w:rsidRPr="00A71375">
        <w:t xml:space="preserve"> and frequency of such reviews.</w:t>
      </w:r>
      <w:r w:rsidR="00491729" w:rsidRPr="00A71375">
        <w:t xml:space="preserve"> A </w:t>
      </w:r>
      <w:r w:rsidR="003F73BA" w:rsidRPr="00A71375">
        <w:t xml:space="preserve">brief </w:t>
      </w:r>
      <w:r w:rsidR="00491729" w:rsidRPr="00A71375">
        <w:t>general introduction</w:t>
      </w:r>
      <w:r w:rsidR="003F73BA" w:rsidRPr="00A71375">
        <w:t xml:space="preserve"> regarding data and safety monitoring oversight</w:t>
      </w:r>
      <w:r w:rsidR="00491729" w:rsidRPr="00A71375">
        <w:t xml:space="preserve"> </w:t>
      </w:r>
      <w:r w:rsidR="003F73BA" w:rsidRPr="00A71375">
        <w:t>should</w:t>
      </w:r>
      <w:r w:rsidR="00491729" w:rsidRPr="00A71375">
        <w:t xml:space="preserve"> be provided in section 5.0, </w:t>
      </w:r>
      <w:r w:rsidR="003F73BA" w:rsidRPr="00A71375">
        <w:t>and</w:t>
      </w:r>
      <w:r w:rsidR="00491729" w:rsidRPr="00A71375">
        <w:t xml:space="preserve"> further details should be provided in the subsequent sections.</w:t>
      </w:r>
      <w:r w:rsidR="00504227" w:rsidRPr="00A71375">
        <w:t xml:space="preserve"> </w:t>
      </w:r>
    </w:p>
    <w:p w14:paraId="15741767" w14:textId="77777777" w:rsidR="00EB1C79" w:rsidRPr="00A71375" w:rsidRDefault="00EB1C79" w:rsidP="00EB1C79">
      <w:pPr>
        <w:pStyle w:val="BodyText21"/>
        <w:rPr>
          <w:rFonts w:ascii="Arial" w:hAnsi="Arial" w:cs="Arial"/>
          <w:b/>
          <w:i/>
          <w:color w:val="4472C4" w:themeColor="accent1"/>
          <w:szCs w:val="24"/>
        </w:rPr>
      </w:pPr>
      <w:r w:rsidRPr="00A71375">
        <w:rPr>
          <w:rFonts w:ascii="Arial" w:hAnsi="Arial" w:cs="Arial"/>
          <w:b/>
          <w:i/>
          <w:color w:val="4472C4" w:themeColor="accent1"/>
          <w:szCs w:val="24"/>
        </w:rPr>
        <w:t>{Begin sample text}</w:t>
      </w:r>
    </w:p>
    <w:p w14:paraId="6656B78C" w14:textId="1D5366C0" w:rsidR="00504227" w:rsidRPr="00A71375" w:rsidRDefault="00504227" w:rsidP="00A44F70">
      <w:pPr>
        <w:pStyle w:val="BodyText"/>
      </w:pPr>
      <w:r w:rsidRPr="00A71375">
        <w:t xml:space="preserve">The </w:t>
      </w:r>
      <w:r w:rsidR="001B6878">
        <w:t>i</w:t>
      </w:r>
      <w:r w:rsidRPr="00A71375">
        <w:t>nvestigator will be responsible for ensuring participants’ safety on a daily basis</w:t>
      </w:r>
      <w:r w:rsidR="004D5589" w:rsidRPr="00A71375">
        <w:t xml:space="preserve"> and for reporting </w:t>
      </w:r>
      <w:r w:rsidR="00E8147E" w:rsidRPr="00A71375">
        <w:t xml:space="preserve">Serious Adverse Events </w:t>
      </w:r>
      <w:r w:rsidR="00691075" w:rsidRPr="00A71375">
        <w:t xml:space="preserve">and </w:t>
      </w:r>
      <w:r w:rsidR="00E8147E" w:rsidRPr="00A71375">
        <w:t xml:space="preserve">Unanticipated Problems </w:t>
      </w:r>
      <w:r w:rsidR="004D5589" w:rsidRPr="00A71375">
        <w:t xml:space="preserve">to his or her </w:t>
      </w:r>
      <w:r w:rsidR="008853D4" w:rsidRPr="00A71375">
        <w:t>Institutional Review Board</w:t>
      </w:r>
      <w:r w:rsidR="004D5589" w:rsidRPr="00A71375">
        <w:t xml:space="preserve">, </w:t>
      </w:r>
      <w:r w:rsidR="00E8147E" w:rsidRPr="00A71375">
        <w:t xml:space="preserve">and the </w:t>
      </w:r>
      <w:r w:rsidR="004D5589" w:rsidRPr="00A71375">
        <w:t xml:space="preserve">NIAMS and the </w:t>
      </w:r>
      <w:r w:rsidR="00CB2A48" w:rsidRPr="00A71375">
        <w:t>M</w:t>
      </w:r>
      <w:r w:rsidR="004D5589" w:rsidRPr="00A71375">
        <w:t xml:space="preserve">onitoring </w:t>
      </w:r>
      <w:r w:rsidR="00CB2A48" w:rsidRPr="00A71375">
        <w:t>B</w:t>
      </w:r>
      <w:r w:rsidR="004D5589" w:rsidRPr="00A71375">
        <w:t xml:space="preserve">ody (through the </w:t>
      </w:r>
      <w:r w:rsidR="001611DD">
        <w:t xml:space="preserve">NIAMS </w:t>
      </w:r>
      <w:r w:rsidR="004D5589" w:rsidRPr="00A71375">
        <w:t xml:space="preserve">Executive Secretary), and FDA as required. </w:t>
      </w:r>
      <w:r w:rsidRPr="00A71375">
        <w:t xml:space="preserve">The </w:t>
      </w:r>
      <w:r w:rsidR="00946FB5" w:rsidRPr="00A71375">
        <w:t>Monitoring Body</w:t>
      </w:r>
      <w:r w:rsidRPr="00A71375">
        <w:t xml:space="preserve"> will act in an advisory capacity to the </w:t>
      </w:r>
      <w:r w:rsidR="00A1120D" w:rsidRPr="00A71375">
        <w:t>NIAMS</w:t>
      </w:r>
      <w:r w:rsidRPr="00A71375">
        <w:t xml:space="preserve"> to monitor participant safety, evaluate the progress of the study, to review procedures for maintaining the confidentiality of data, the quality of data collection, management, and analyses. </w:t>
      </w:r>
    </w:p>
    <w:p w14:paraId="7185F368" w14:textId="7FFDD9CD" w:rsidR="00EB1C79" w:rsidRPr="00A71375" w:rsidRDefault="00EB1C79" w:rsidP="00EE1631">
      <w:pPr>
        <w:pStyle w:val="BodyTextSample"/>
      </w:pPr>
      <w:r w:rsidRPr="00A71375">
        <w:t>{End sample text}</w:t>
      </w:r>
    </w:p>
    <w:p w14:paraId="202DFB88" w14:textId="21347415" w:rsidR="00504227" w:rsidRPr="00A71375" w:rsidRDefault="000A2F06" w:rsidP="00A44F70">
      <w:pPr>
        <w:pStyle w:val="Heading2"/>
        <w:rPr>
          <w:i/>
        </w:rPr>
      </w:pPr>
      <w:bookmarkStart w:id="36" w:name="_Toc193777364"/>
      <w:bookmarkStart w:id="37" w:name="_Toc50553258"/>
      <w:r w:rsidRPr="00A71375">
        <w:t>5</w:t>
      </w:r>
      <w:r w:rsidR="00504227" w:rsidRPr="00A71375">
        <w:t>.1 Frequency of Data and Safety Monitoring</w:t>
      </w:r>
      <w:bookmarkEnd w:id="36"/>
      <w:bookmarkEnd w:id="37"/>
      <w:r w:rsidR="00504227" w:rsidRPr="00A71375">
        <w:t xml:space="preserve"> </w:t>
      </w:r>
    </w:p>
    <w:p w14:paraId="339E053E" w14:textId="3C686432" w:rsidR="006B2EA5" w:rsidRPr="00A71375" w:rsidRDefault="00EB1C79" w:rsidP="00EE1631">
      <w:pPr>
        <w:pStyle w:val="BodyTextblue"/>
      </w:pPr>
      <w:r w:rsidRPr="00A71375">
        <w:t>{</w:t>
      </w:r>
      <w:r w:rsidR="00504227" w:rsidRPr="00A71375">
        <w:t>This section describes the frequency of data and safety monitoring reviews.</w:t>
      </w:r>
      <w:r w:rsidR="00B10205" w:rsidRPr="00A71375">
        <w:t xml:space="preserve"> As the reviews of reportable events (AEs, SAEs, UPs, and protocol deviations) are included in Section 3, this section should focus on the routine and ad hoc review of the full data and safety monitoring reports.</w:t>
      </w:r>
      <w:r w:rsidRPr="00A71375">
        <w:t>}</w:t>
      </w:r>
      <w:r w:rsidR="00504227" w:rsidRPr="00A71375">
        <w:t xml:space="preserve"> </w:t>
      </w:r>
    </w:p>
    <w:p w14:paraId="5F356FC9" w14:textId="459B7611" w:rsidR="00504227" w:rsidRPr="00A71375" w:rsidRDefault="00EB1C79" w:rsidP="00EE1631">
      <w:pPr>
        <w:pStyle w:val="BodyTextSample"/>
      </w:pPr>
      <w:r w:rsidRPr="00A71375">
        <w:t>{Begin</w:t>
      </w:r>
      <w:bookmarkStart w:id="38" w:name="_Toc193777365"/>
      <w:r w:rsidR="003F73BA" w:rsidRPr="00A71375">
        <w:t xml:space="preserve"> sample text}</w:t>
      </w:r>
    </w:p>
    <w:p w14:paraId="22EEB637" w14:textId="29E66893" w:rsidR="003F73BA" w:rsidRPr="00A71375" w:rsidRDefault="003F73BA" w:rsidP="00EE1631">
      <w:pPr>
        <w:pStyle w:val="BodyText"/>
      </w:pPr>
      <w:r w:rsidRPr="00A71375">
        <w:t xml:space="preserve">Data and safety monitoring reports are sent to the Monitoring Body and the NIAMS (through the NIAMS Executive Secretary) in advance of the </w:t>
      </w:r>
      <w:r w:rsidR="00084CBE">
        <w:t>semi-</w:t>
      </w:r>
      <w:r w:rsidRPr="00A71375">
        <w:t>annual meetings and will include a detailed analysis of study progress, data and safety issues.</w:t>
      </w:r>
    </w:p>
    <w:p w14:paraId="1E3FC567" w14:textId="77777777" w:rsidR="00B20DE7" w:rsidRPr="00A71375" w:rsidRDefault="00B20DE7" w:rsidP="00A44F70">
      <w:pPr>
        <w:pStyle w:val="BodyText"/>
      </w:pPr>
      <w:r w:rsidRPr="00A71375">
        <w:lastRenderedPageBreak/>
        <w:t xml:space="preserve">Specific triggers for an ad-hoc review or initiation of the process of an ad hoc review will occur if there are unforeseen deaths or the threshold for SAE has been met.  </w:t>
      </w:r>
    </w:p>
    <w:p w14:paraId="1E8DCE8C" w14:textId="246CCAEF" w:rsidR="00504227" w:rsidRPr="00A71375" w:rsidRDefault="003F73BA" w:rsidP="00EE1631">
      <w:pPr>
        <w:pStyle w:val="BodyTextSample"/>
      </w:pPr>
      <w:r w:rsidRPr="00A71375">
        <w:t>{End sample text}</w:t>
      </w:r>
    </w:p>
    <w:p w14:paraId="0520BFD6" w14:textId="0B1EB20D" w:rsidR="00504227" w:rsidRPr="00A71375" w:rsidRDefault="000A2F06" w:rsidP="00A44F70">
      <w:pPr>
        <w:pStyle w:val="Heading2"/>
        <w:rPr>
          <w:i/>
        </w:rPr>
      </w:pPr>
      <w:bookmarkStart w:id="39" w:name="_Toc50553259"/>
      <w:r w:rsidRPr="00A71375">
        <w:t>5</w:t>
      </w:r>
      <w:r w:rsidR="00504227" w:rsidRPr="00A71375">
        <w:t>.2 Content of Data and Safety Monitoring Report</w:t>
      </w:r>
      <w:bookmarkEnd w:id="38"/>
      <w:bookmarkEnd w:id="39"/>
      <w:r w:rsidR="00504227" w:rsidRPr="00A71375">
        <w:t xml:space="preserve"> </w:t>
      </w:r>
    </w:p>
    <w:p w14:paraId="1B9D3844" w14:textId="2F8F383A" w:rsidR="00EB1C79" w:rsidRPr="00A71375" w:rsidRDefault="00EB1C79" w:rsidP="00EE1631">
      <w:pPr>
        <w:pStyle w:val="BodyTextblue"/>
      </w:pPr>
      <w:r w:rsidRPr="00A71375">
        <w:t>{</w:t>
      </w:r>
      <w:r w:rsidR="00504227" w:rsidRPr="00A71375">
        <w:t>This section describes the content of the data and safety monitoring reports</w:t>
      </w:r>
      <w:r w:rsidR="00D409CB" w:rsidRPr="00A71375">
        <w:t>.</w:t>
      </w:r>
      <w:r w:rsidR="004D5589" w:rsidRPr="00A71375">
        <w:t xml:space="preserve"> The specifics of the study and</w:t>
      </w:r>
      <w:r w:rsidR="00F75FE2" w:rsidRPr="00A71375">
        <w:t xml:space="preserve"> the requests of the </w:t>
      </w:r>
      <w:r w:rsidR="00CB2A48" w:rsidRPr="00A71375">
        <w:t>M</w:t>
      </w:r>
      <w:r w:rsidR="00DF140A" w:rsidRPr="00A71375">
        <w:t xml:space="preserve">onitoring </w:t>
      </w:r>
      <w:r w:rsidR="00CB2A48" w:rsidRPr="00A71375">
        <w:t>Body</w:t>
      </w:r>
      <w:r w:rsidR="00DF140A" w:rsidRPr="00A71375">
        <w:t xml:space="preserve"> </w:t>
      </w:r>
      <w:r w:rsidR="004D5589" w:rsidRPr="00A71375">
        <w:t xml:space="preserve">will guide requirements for additional tables and listings. </w:t>
      </w:r>
      <w:r w:rsidR="00D16F7A" w:rsidRPr="00A71375">
        <w:t>Tables for m</w:t>
      </w:r>
      <w:r w:rsidR="004D5589" w:rsidRPr="00A71375">
        <w:t xml:space="preserve">ulti-site studies will </w:t>
      </w:r>
      <w:r w:rsidR="00D16F7A" w:rsidRPr="00A71375">
        <w:t xml:space="preserve">present aggregated </w:t>
      </w:r>
      <w:r w:rsidR="00CA3699" w:rsidRPr="00A71375">
        <w:t xml:space="preserve">data </w:t>
      </w:r>
      <w:r w:rsidR="00D16F7A" w:rsidRPr="00A71375">
        <w:t xml:space="preserve">as well as data </w:t>
      </w:r>
      <w:r w:rsidR="004D5589" w:rsidRPr="00A71375">
        <w:t>by site</w:t>
      </w:r>
      <w:r w:rsidR="00D16F7A" w:rsidRPr="00A71375">
        <w:t>.</w:t>
      </w:r>
    </w:p>
    <w:p w14:paraId="68FCD054" w14:textId="5AE42D79" w:rsidR="003772C5" w:rsidRPr="00A71375" w:rsidRDefault="003772C5" w:rsidP="00EE1631">
      <w:pPr>
        <w:pStyle w:val="BodyTextblue"/>
      </w:pPr>
      <w:r w:rsidRPr="00A71375">
        <w:t xml:space="preserve">For studies with more than one </w:t>
      </w:r>
      <w:r w:rsidR="001D63F8">
        <w:t>intervention</w:t>
      </w:r>
      <w:r w:rsidR="001D63F8" w:rsidRPr="00A71375">
        <w:t xml:space="preserve"> </w:t>
      </w:r>
      <w:r w:rsidRPr="00A71375">
        <w:t xml:space="preserve">group, this section should indicate the plans for </w:t>
      </w:r>
      <w:r w:rsidRPr="00A71375">
        <w:rPr>
          <w:color w:val="4472C4"/>
        </w:rPr>
        <w:t>providing</w:t>
      </w:r>
      <w:r w:rsidRPr="00A71375">
        <w:t xml:space="preserve"> data stratified by masked </w:t>
      </w:r>
      <w:r w:rsidR="00CF1982">
        <w:t>intervention</w:t>
      </w:r>
      <w:r w:rsidR="00CF1982" w:rsidRPr="00A71375">
        <w:t xml:space="preserve"> </w:t>
      </w:r>
      <w:r w:rsidRPr="00A71375">
        <w:t>group (i.e., Group A vs. Group B) as part of</w:t>
      </w:r>
      <w:r w:rsidR="006B2EA5" w:rsidRPr="00A71375">
        <w:t xml:space="preserve"> </w:t>
      </w:r>
      <w:r w:rsidRPr="00A71375">
        <w:t>the closed report to the Monitoring Body, while the open report should have data presented in aggregate without stratification by groups.</w:t>
      </w:r>
    </w:p>
    <w:p w14:paraId="20F8E99B" w14:textId="47E0B072" w:rsidR="00FB480B" w:rsidRPr="00A71375" w:rsidRDefault="00FB480B" w:rsidP="00EE1631">
      <w:pPr>
        <w:pStyle w:val="BodyTextblue"/>
      </w:pPr>
      <w:r w:rsidRPr="00A71375">
        <w:t>The complete data and safety monitoring report template should be included as an appendix.</w:t>
      </w:r>
    </w:p>
    <w:p w14:paraId="589B9DE4" w14:textId="24140F16" w:rsidR="00EB1C79" w:rsidRPr="00A71375" w:rsidRDefault="00EB1C79" w:rsidP="00EE1631">
      <w:pPr>
        <w:pStyle w:val="BodyTextblue"/>
      </w:pPr>
      <w:r w:rsidRPr="00A71375">
        <w:t>Refer to the</w:t>
      </w:r>
      <w:r w:rsidR="00FB480B" w:rsidRPr="00A71375">
        <w:t xml:space="preserve"> NIAMS Data and Safety Monitoring Board Report Templates</w:t>
      </w:r>
      <w:r w:rsidRPr="00A71375">
        <w:t xml:space="preserve"> </w:t>
      </w:r>
      <w:r w:rsidR="00FB480B" w:rsidRPr="00A71375">
        <w:t>(</w:t>
      </w:r>
      <w:hyperlink r:id="rId21" w:history="1">
        <w:r w:rsidRPr="00A71375">
          <w:rPr>
            <w:rStyle w:val="Hyperlink"/>
            <w:b/>
            <w:bCs/>
            <w:i w:val="0"/>
            <w:color w:val="4472C4" w:themeColor="accent1"/>
          </w:rPr>
          <w:t>https://www.niams.nih.gov/grants-funding/conducting-clinical-research/trial-policies-guidelines-templates/data-safety-monitoring-guidelines-policies/clinical-study-templates-forms</w:t>
        </w:r>
      </w:hyperlink>
      <w:r w:rsidR="00FB480B" w:rsidRPr="00A71375">
        <w:rPr>
          <w:rStyle w:val="Hyperlink"/>
          <w:bCs/>
          <w:i w:val="0"/>
          <w:color w:val="4472C4" w:themeColor="accent1"/>
        </w:rPr>
        <w:t>)</w:t>
      </w:r>
      <w:r w:rsidRPr="00A71375">
        <w:t xml:space="preserve"> </w:t>
      </w:r>
      <w:r w:rsidR="003D3E1C" w:rsidRPr="00A71375">
        <w:t>f</w:t>
      </w:r>
      <w:r w:rsidR="00FB480B" w:rsidRPr="00A71375">
        <w:t>or guidance.}</w:t>
      </w:r>
    </w:p>
    <w:p w14:paraId="2B2E5C41" w14:textId="77777777" w:rsidR="009F3D33" w:rsidRPr="00A71375" w:rsidRDefault="00EB1C79" w:rsidP="00EE1631">
      <w:pPr>
        <w:pStyle w:val="BodyTextSample"/>
      </w:pPr>
      <w:r w:rsidRPr="00A71375">
        <w:t>{Begin sample text}</w:t>
      </w:r>
    </w:p>
    <w:p w14:paraId="0A3D9CA5" w14:textId="7EB151A5" w:rsidR="007C64E9" w:rsidRPr="00A71375" w:rsidRDefault="00B10205" w:rsidP="00A44F70">
      <w:pPr>
        <w:pStyle w:val="BodyText"/>
      </w:pPr>
      <w:r w:rsidRPr="00A71375">
        <w:t xml:space="preserve">The study statistician prepares reports that list adverse events, serious adverse events, deaths, and disease-or </w:t>
      </w:r>
      <w:r w:rsidR="00D935C1">
        <w:t>intervention</w:t>
      </w:r>
      <w:r w:rsidRPr="00A71375">
        <w:t xml:space="preserve">-specific events required for </w:t>
      </w:r>
      <w:r w:rsidR="00CB2A48" w:rsidRPr="00A71375">
        <w:t>M</w:t>
      </w:r>
      <w:r w:rsidRPr="00A71375">
        <w:t xml:space="preserve">onitoring </w:t>
      </w:r>
      <w:r w:rsidR="00CB2A48" w:rsidRPr="00A71375">
        <w:t>B</w:t>
      </w:r>
      <w:r w:rsidRPr="00A71375">
        <w:t xml:space="preserve">ody review in order to ensure good clinical care and identify any emerging trends. </w:t>
      </w:r>
      <w:r w:rsidR="001511C0" w:rsidRPr="00A71375">
        <w:t xml:space="preserve">Demographic data will include </w:t>
      </w:r>
      <w:r w:rsidR="00D16F7A" w:rsidRPr="00A71375">
        <w:t>sex</w:t>
      </w:r>
      <w:r w:rsidR="001511C0" w:rsidRPr="00A71375">
        <w:t>, ethnicity, race, education</w:t>
      </w:r>
      <w:r w:rsidRPr="00A71375">
        <w:t>,</w:t>
      </w:r>
      <w:r w:rsidR="001511C0" w:rsidRPr="00A71375">
        <w:t xml:space="preserve"> and age</w:t>
      </w:r>
      <w:r w:rsidRPr="00A71375">
        <w:t>,</w:t>
      </w:r>
      <w:r w:rsidR="001511C0" w:rsidRPr="00A71375">
        <w:t xml:space="preserve"> and will be stratified by site. </w:t>
      </w:r>
    </w:p>
    <w:p w14:paraId="7A73C739" w14:textId="2CAEE1A0" w:rsidR="00B10205" w:rsidRPr="00F63C1A" w:rsidRDefault="00DE63A7" w:rsidP="00A44F70">
      <w:pPr>
        <w:pStyle w:val="BodyText"/>
        <w:rPr>
          <w:i/>
          <w:iCs/>
          <w:color w:val="4472C4" w:themeColor="accent1"/>
        </w:rPr>
      </w:pPr>
      <w:r w:rsidRPr="00F63C1A">
        <w:rPr>
          <w:i/>
          <w:iCs/>
          <w:color w:val="4472C4" w:themeColor="accent1"/>
        </w:rPr>
        <w:t>The</w:t>
      </w:r>
      <w:r w:rsidR="00B10205" w:rsidRPr="00F63C1A">
        <w:rPr>
          <w:i/>
          <w:iCs/>
          <w:color w:val="4472C4" w:themeColor="accent1"/>
        </w:rPr>
        <w:t xml:space="preserve"> data and safety monitoring repo</w:t>
      </w:r>
      <w:r w:rsidR="00B10205" w:rsidRPr="003F3640">
        <w:rPr>
          <w:i/>
          <w:iCs/>
          <w:color w:val="4472C4"/>
        </w:rPr>
        <w:t>rts</w:t>
      </w:r>
      <w:r w:rsidRPr="003F3640">
        <w:rPr>
          <w:i/>
          <w:iCs/>
          <w:color w:val="4472C4"/>
        </w:rPr>
        <w:t xml:space="preserve"> i</w:t>
      </w:r>
      <w:r w:rsidRPr="00F63C1A">
        <w:rPr>
          <w:i/>
          <w:iCs/>
          <w:color w:val="4472C4" w:themeColor="accent1"/>
        </w:rPr>
        <w:t>nclude</w:t>
      </w:r>
      <w:r w:rsidR="00B10205" w:rsidRPr="00F63C1A">
        <w:rPr>
          <w:i/>
          <w:iCs/>
          <w:color w:val="4472C4" w:themeColor="accent1"/>
        </w:rPr>
        <w:t xml:space="preserve"> the following information:</w:t>
      </w:r>
    </w:p>
    <w:p w14:paraId="16D18756" w14:textId="5794BEC5" w:rsidR="00B10205"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t xml:space="preserve">CONSORT diagram and actual versus expected enrollment figures that illustrate recruitment and </w:t>
      </w:r>
      <w:r w:rsidR="00067954" w:rsidRPr="003F3640">
        <w:rPr>
          <w:rFonts w:eastAsia="Arial"/>
          <w:i/>
          <w:iCs/>
          <w:color w:val="4472C4" w:themeColor="accent1"/>
        </w:rPr>
        <w:t>participation status.</w:t>
      </w:r>
      <w:r w:rsidR="006D59AC" w:rsidRPr="003F3640">
        <w:rPr>
          <w:rFonts w:eastAsia="Arial"/>
          <w:i/>
          <w:iCs/>
          <w:color w:val="4472C4"/>
          <w:vertAlign w:val="superscript"/>
        </w:rPr>
        <w:footnoteReference w:id="2"/>
      </w:r>
    </w:p>
    <w:p w14:paraId="7F419C9F" w14:textId="1A918394" w:rsidR="00B10205"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t>Data tables that summarize demographic and baseline clinical characteristics</w:t>
      </w:r>
    </w:p>
    <w:p w14:paraId="13226A50" w14:textId="069C0E75" w:rsidR="00B10205"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t>Data quality tables that capture missing visits and missing case report forms</w:t>
      </w:r>
    </w:p>
    <w:p w14:paraId="2A553DEE" w14:textId="5085408C" w:rsidR="00B10205"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t>Safety assessments of aggregate tables of adverse events and serious adverse events</w:t>
      </w:r>
    </w:p>
    <w:p w14:paraId="23359626" w14:textId="0BD8B825" w:rsidR="00B10205"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lastRenderedPageBreak/>
        <w:t>Listings of adverse events, serious adverse events, deaths, unanticipated problems and protocol deviations</w:t>
      </w:r>
    </w:p>
    <w:p w14:paraId="1EB67D58" w14:textId="180FCC07" w:rsidR="00A20CA3" w:rsidRPr="003F3640" w:rsidRDefault="00B10205" w:rsidP="003F3640">
      <w:pPr>
        <w:pStyle w:val="ListParagraph"/>
        <w:numPr>
          <w:ilvl w:val="0"/>
          <w:numId w:val="3"/>
        </w:numPr>
        <w:rPr>
          <w:rFonts w:eastAsia="Arial"/>
          <w:i/>
          <w:iCs/>
          <w:color w:val="4472C4" w:themeColor="accent1"/>
        </w:rPr>
      </w:pPr>
      <w:r w:rsidRPr="003F3640">
        <w:rPr>
          <w:rFonts w:eastAsia="Arial"/>
          <w:i/>
          <w:iCs/>
          <w:color w:val="4472C4" w:themeColor="accent1"/>
        </w:rPr>
        <w:t>Aggregate tables of clinical laboratory values</w:t>
      </w:r>
    </w:p>
    <w:p w14:paraId="3E1F19ED" w14:textId="1AF76B9C" w:rsidR="00EB1C79" w:rsidRPr="00A71375" w:rsidRDefault="00EB1C79" w:rsidP="00EE1631">
      <w:pPr>
        <w:pStyle w:val="BodyTextSample"/>
      </w:pPr>
      <w:r w:rsidRPr="00A71375">
        <w:t>{End sample text}</w:t>
      </w:r>
    </w:p>
    <w:p w14:paraId="6F28FC7F" w14:textId="2992D04E" w:rsidR="00504227" w:rsidRPr="00A71375" w:rsidRDefault="000A2F06" w:rsidP="00A44F70">
      <w:pPr>
        <w:pStyle w:val="Heading2"/>
        <w:rPr>
          <w:i/>
        </w:rPr>
      </w:pPr>
      <w:bookmarkStart w:id="40" w:name="_Toc193777366"/>
      <w:bookmarkStart w:id="41" w:name="_Toc50553260"/>
      <w:r w:rsidRPr="00A71375">
        <w:t>5</w:t>
      </w:r>
      <w:r w:rsidR="00504227" w:rsidRPr="00A71375">
        <w:t xml:space="preserve">.3 </w:t>
      </w:r>
      <w:r w:rsidR="001511C0" w:rsidRPr="00A71375">
        <w:t xml:space="preserve">Monitoring Body </w:t>
      </w:r>
      <w:r w:rsidR="00504227" w:rsidRPr="00A71375">
        <w:t>Membership and Affiliation</w:t>
      </w:r>
      <w:bookmarkEnd w:id="40"/>
      <w:bookmarkEnd w:id="41"/>
    </w:p>
    <w:p w14:paraId="30E060A7" w14:textId="2E253246" w:rsidR="00356B90" w:rsidRPr="00A71375" w:rsidRDefault="00EB1C79" w:rsidP="00EE1631">
      <w:pPr>
        <w:pStyle w:val="BodyTextblue"/>
      </w:pPr>
      <w:r w:rsidRPr="00A71375">
        <w:t>{</w:t>
      </w:r>
      <w:r w:rsidR="00504227" w:rsidRPr="00A71375">
        <w:t xml:space="preserve">This section includes a roster of the </w:t>
      </w:r>
      <w:r w:rsidR="00CB2A48" w:rsidRPr="00A71375">
        <w:t>M</w:t>
      </w:r>
      <w:r w:rsidR="00DF140A" w:rsidRPr="00A71375">
        <w:t xml:space="preserve">onitoring </w:t>
      </w:r>
      <w:r w:rsidR="00CB2A48" w:rsidRPr="00A71375">
        <w:t xml:space="preserve">Body’s </w:t>
      </w:r>
      <w:r w:rsidR="00504227" w:rsidRPr="00A71375">
        <w:t>name</w:t>
      </w:r>
      <w:r w:rsidR="001511C0" w:rsidRPr="00A71375">
        <w:t>(s)</w:t>
      </w:r>
      <w:r w:rsidR="00504227" w:rsidRPr="00A71375">
        <w:t xml:space="preserve"> </w:t>
      </w:r>
      <w:r w:rsidR="001511C0" w:rsidRPr="00A71375">
        <w:t>and</w:t>
      </w:r>
      <w:r w:rsidR="00504227" w:rsidRPr="00A71375">
        <w:t xml:space="preserve"> affiliation</w:t>
      </w:r>
      <w:r w:rsidR="001511C0" w:rsidRPr="00A71375">
        <w:t>(</w:t>
      </w:r>
      <w:r w:rsidR="00504227" w:rsidRPr="00A71375">
        <w:t>s</w:t>
      </w:r>
      <w:r w:rsidR="001511C0" w:rsidRPr="00A71375">
        <w:t>)</w:t>
      </w:r>
      <w:r w:rsidR="00504227" w:rsidRPr="00A71375">
        <w:t>.</w:t>
      </w:r>
      <w:r w:rsidR="00750648" w:rsidRPr="00A71375">
        <w:t xml:space="preserve"> </w:t>
      </w:r>
      <w:r w:rsidR="00DE63A7" w:rsidRPr="00A71375">
        <w:t xml:space="preserve">For studies with </w:t>
      </w:r>
      <w:r w:rsidR="003772C5" w:rsidRPr="00A71375">
        <w:t xml:space="preserve">a </w:t>
      </w:r>
      <w:r w:rsidR="00750648" w:rsidRPr="00A71375">
        <w:t xml:space="preserve">NIAMS-appointed </w:t>
      </w:r>
      <w:r w:rsidR="00CB2A48" w:rsidRPr="00A71375">
        <w:t>M</w:t>
      </w:r>
      <w:r w:rsidR="00750648" w:rsidRPr="00A71375">
        <w:t xml:space="preserve">onitoring </w:t>
      </w:r>
      <w:r w:rsidR="00CB2A48" w:rsidRPr="00A71375">
        <w:t>B</w:t>
      </w:r>
      <w:r w:rsidR="00750648" w:rsidRPr="00A71375">
        <w:t xml:space="preserve">ody, the NIAMS Executive Secretary will </w:t>
      </w:r>
      <w:r w:rsidR="00DE63A7" w:rsidRPr="00A71375">
        <w:t xml:space="preserve">provide </w:t>
      </w:r>
      <w:r w:rsidR="00750648" w:rsidRPr="00A71375">
        <w:t xml:space="preserve">the </w:t>
      </w:r>
      <w:r w:rsidR="00DE63A7" w:rsidRPr="00A71375">
        <w:t xml:space="preserve">name(s) and affiliation(s) </w:t>
      </w:r>
      <w:r w:rsidR="003772C5" w:rsidRPr="00A71375">
        <w:t xml:space="preserve">of the </w:t>
      </w:r>
      <w:r w:rsidR="00DE63A7" w:rsidRPr="00A71375">
        <w:t xml:space="preserve">individual(s) serving once the Monitoring Body has been assembled. </w:t>
      </w:r>
      <w:r w:rsidR="00750648" w:rsidRPr="00A71375">
        <w:t xml:space="preserve">However, if this is an </w:t>
      </w:r>
      <w:r w:rsidR="00026C60" w:rsidRPr="00A71375">
        <w:t>Internally</w:t>
      </w:r>
      <w:r w:rsidR="00CB2A48" w:rsidRPr="00A71375">
        <w:t>-</w:t>
      </w:r>
      <w:r w:rsidR="00026C60" w:rsidRPr="00A71375">
        <w:t>appointed</w:t>
      </w:r>
      <w:r w:rsidR="00750648" w:rsidRPr="00A71375">
        <w:t xml:space="preserve"> </w:t>
      </w:r>
      <w:r w:rsidR="00CB2A48" w:rsidRPr="00A71375">
        <w:t>M</w:t>
      </w:r>
      <w:r w:rsidR="00750648" w:rsidRPr="00A71375">
        <w:t xml:space="preserve">onitoring </w:t>
      </w:r>
      <w:r w:rsidR="00CB2A48" w:rsidRPr="00A71375">
        <w:t>B</w:t>
      </w:r>
      <w:r w:rsidR="00750648" w:rsidRPr="00A71375">
        <w:t>ody (i.e.</w:t>
      </w:r>
      <w:r w:rsidR="003772C5" w:rsidRPr="00A71375">
        <w:t>,</w:t>
      </w:r>
      <w:r w:rsidR="00750648" w:rsidRPr="00A71375">
        <w:t xml:space="preserve"> PI</w:t>
      </w:r>
      <w:r w:rsidR="003772C5" w:rsidRPr="00A71375">
        <w:t>-</w:t>
      </w:r>
      <w:r w:rsidR="00750648" w:rsidRPr="00A71375">
        <w:t>appointed), the study team should enter the information</w:t>
      </w:r>
      <w:r w:rsidR="00026C60" w:rsidRPr="00A71375">
        <w:t xml:space="preserve"> in this section</w:t>
      </w:r>
      <w:r w:rsidR="00DE63A7" w:rsidRPr="00A71375">
        <w:t xml:space="preserve"> once the NIAMS has confirmed that no conflicts of interest with the Monitoring Body member(s) are identified.}</w:t>
      </w:r>
    </w:p>
    <w:p w14:paraId="68F09704" w14:textId="77777777" w:rsidR="00EB1C79" w:rsidRPr="00A71375" w:rsidRDefault="00EB1C79" w:rsidP="00EE1631">
      <w:pPr>
        <w:pStyle w:val="BodyTextSample"/>
      </w:pPr>
      <w:r w:rsidRPr="00A71375">
        <w:t>{Begin sample text}</w:t>
      </w:r>
    </w:p>
    <w:p w14:paraId="113B9FC1" w14:textId="77777777" w:rsidR="00504227" w:rsidRPr="00A71375" w:rsidRDefault="00504227" w:rsidP="00A44F70">
      <w:pPr>
        <w:pStyle w:val="BodyText"/>
      </w:pPr>
      <w:r w:rsidRPr="00A71375">
        <w:t>The following individuals have accep</w:t>
      </w:r>
      <w:r w:rsidR="001511C0" w:rsidRPr="00A71375">
        <w:t xml:space="preserve">ted positions as part of the </w:t>
      </w:r>
      <w:r w:rsidR="003772C5" w:rsidRPr="00A71375">
        <w:t>NIAMS-appointed DSMB</w:t>
      </w:r>
      <w:r w:rsidRPr="00A71375">
        <w:t xml:space="preserve">. </w:t>
      </w:r>
    </w:p>
    <w:p w14:paraId="55E8527F" w14:textId="1CD96EDD" w:rsidR="00750648" w:rsidRPr="00A71375" w:rsidRDefault="00504227" w:rsidP="00A44F70">
      <w:pPr>
        <w:pStyle w:val="BodyText"/>
      </w:pPr>
      <w:r w:rsidRPr="00A71375">
        <w:t xml:space="preserve">Name </w:t>
      </w:r>
      <w:r w:rsidR="00EE1631">
        <w:br/>
      </w:r>
      <w:r w:rsidRPr="00A71375">
        <w:t>Title, Organization</w:t>
      </w:r>
      <w:r w:rsidR="00EE1631">
        <w:br/>
      </w:r>
      <w:r w:rsidR="00750648" w:rsidRPr="00A71375">
        <w:t>Area of Expertise</w:t>
      </w:r>
    </w:p>
    <w:p w14:paraId="714F8E08" w14:textId="18BF8425" w:rsidR="00750648" w:rsidRPr="00A71375" w:rsidRDefault="00504227" w:rsidP="00A44F70">
      <w:pPr>
        <w:pStyle w:val="BodyText"/>
      </w:pPr>
      <w:r w:rsidRPr="00A71375">
        <w:t xml:space="preserve">Name </w:t>
      </w:r>
      <w:r w:rsidR="00EE1631">
        <w:br/>
      </w:r>
      <w:r w:rsidRPr="00A71375">
        <w:t>Title, Organization</w:t>
      </w:r>
      <w:r w:rsidR="00EE1631">
        <w:br/>
      </w:r>
      <w:r w:rsidR="00750648" w:rsidRPr="00A71375">
        <w:t>Area of Expertise</w:t>
      </w:r>
    </w:p>
    <w:p w14:paraId="1E77F261" w14:textId="57D38062" w:rsidR="00EB1C79" w:rsidRPr="00A71375" w:rsidRDefault="00EB1C79" w:rsidP="00EB1C79">
      <w:pPr>
        <w:pStyle w:val="BodyText21"/>
        <w:rPr>
          <w:rFonts w:ascii="Arial" w:hAnsi="Arial" w:cs="Arial"/>
          <w:b/>
          <w:i/>
          <w:color w:val="4472C4" w:themeColor="accent1"/>
          <w:szCs w:val="24"/>
        </w:rPr>
      </w:pPr>
      <w:r w:rsidRPr="00A71375">
        <w:rPr>
          <w:rFonts w:ascii="Arial" w:hAnsi="Arial" w:cs="Arial"/>
          <w:b/>
          <w:i/>
          <w:color w:val="4472C4" w:themeColor="accent1"/>
          <w:szCs w:val="24"/>
        </w:rPr>
        <w:t>{End sample text}</w:t>
      </w:r>
    </w:p>
    <w:p w14:paraId="45ACC59B" w14:textId="43144E00" w:rsidR="00504227" w:rsidRPr="00A71375" w:rsidRDefault="000A2F06" w:rsidP="00A44F70">
      <w:pPr>
        <w:pStyle w:val="Heading2"/>
        <w:rPr>
          <w:i/>
        </w:rPr>
      </w:pPr>
      <w:bookmarkStart w:id="42" w:name="_Toc50553261"/>
      <w:r w:rsidRPr="00A71375">
        <w:t>5</w:t>
      </w:r>
      <w:r w:rsidR="00504227" w:rsidRPr="00A71375">
        <w:t xml:space="preserve">.4 Conflict of Interest for </w:t>
      </w:r>
      <w:r w:rsidR="00DF140A" w:rsidRPr="00A71375">
        <w:t>Monitoring Bodies</w:t>
      </w:r>
      <w:bookmarkEnd w:id="42"/>
    </w:p>
    <w:p w14:paraId="0D25419E" w14:textId="5DF20CE8" w:rsidR="00504227" w:rsidRPr="00A71375" w:rsidRDefault="00EB1C79" w:rsidP="00EE1631">
      <w:pPr>
        <w:pStyle w:val="BodyTextblue"/>
      </w:pPr>
      <w:r w:rsidRPr="00A71375">
        <w:t>{</w:t>
      </w:r>
      <w:r w:rsidR="00504227" w:rsidRPr="00A71375">
        <w:t>This section describes the conflic</w:t>
      </w:r>
      <w:r w:rsidR="00DF140A" w:rsidRPr="00A71375">
        <w:t xml:space="preserve">t of interest procedure for </w:t>
      </w:r>
      <w:r w:rsidR="00026C60" w:rsidRPr="00A71375">
        <w:t xml:space="preserve">Monitoring </w:t>
      </w:r>
      <w:r w:rsidR="00DF140A" w:rsidRPr="00A71375">
        <w:t>B</w:t>
      </w:r>
      <w:r w:rsidR="00026C60" w:rsidRPr="00A71375">
        <w:t>ody</w:t>
      </w:r>
      <w:r w:rsidR="00504227" w:rsidRPr="00A71375">
        <w:t xml:space="preserve"> members.</w:t>
      </w:r>
      <w:r w:rsidR="009B79EF" w:rsidRPr="00A71375">
        <w:t xml:space="preserve"> </w:t>
      </w:r>
      <w:r w:rsidR="003772C5" w:rsidRPr="00A71375">
        <w:t>For studies with</w:t>
      </w:r>
      <w:r w:rsidR="009B79EF" w:rsidRPr="00A71375">
        <w:t xml:space="preserve"> a NIAMS-appointed </w:t>
      </w:r>
      <w:r w:rsidR="00CB2A48" w:rsidRPr="00A71375">
        <w:t>M</w:t>
      </w:r>
      <w:r w:rsidR="009B79EF" w:rsidRPr="00A71375">
        <w:t xml:space="preserve">onitoring </w:t>
      </w:r>
      <w:r w:rsidR="00CB2A48" w:rsidRPr="00A71375">
        <w:t>B</w:t>
      </w:r>
      <w:r w:rsidR="009B79EF" w:rsidRPr="00A71375">
        <w:t xml:space="preserve">ody, the NIAMS Executive Secretary will </w:t>
      </w:r>
      <w:r w:rsidR="00026C60" w:rsidRPr="00A71375">
        <w:t>conduct a conflict of interest check on each member</w:t>
      </w:r>
      <w:r w:rsidR="003772C5" w:rsidRPr="00A71375">
        <w:t xml:space="preserve"> prior to beginning their service and on an annual basis thereafter.</w:t>
      </w:r>
      <w:r w:rsidR="009F3D33" w:rsidRPr="00A71375">
        <w:t xml:space="preserve"> </w:t>
      </w:r>
      <w:r w:rsidR="003772C5" w:rsidRPr="00A71375">
        <w:t>For studies with</w:t>
      </w:r>
      <w:r w:rsidR="009B79EF" w:rsidRPr="00A71375">
        <w:t xml:space="preserve"> an Internally-appointed </w:t>
      </w:r>
      <w:r w:rsidR="00CB2A48" w:rsidRPr="00A71375">
        <w:t>M</w:t>
      </w:r>
      <w:r w:rsidR="009B79EF" w:rsidRPr="00A71375">
        <w:t xml:space="preserve">onitoring </w:t>
      </w:r>
      <w:r w:rsidR="00CB2A48" w:rsidRPr="00A71375">
        <w:t>B</w:t>
      </w:r>
      <w:r w:rsidR="009B79EF" w:rsidRPr="00A71375">
        <w:t>ody (i.e.</w:t>
      </w:r>
      <w:r w:rsidR="003772C5" w:rsidRPr="00A71375">
        <w:t>,</w:t>
      </w:r>
      <w:r w:rsidR="009B79EF" w:rsidRPr="00A71375">
        <w:t xml:space="preserve"> PI</w:t>
      </w:r>
      <w:r w:rsidR="003772C5" w:rsidRPr="00A71375">
        <w:t>-</w:t>
      </w:r>
      <w:r w:rsidR="009B79EF" w:rsidRPr="00A71375">
        <w:t xml:space="preserve">appointed), the study team should </w:t>
      </w:r>
      <w:r w:rsidR="00C80577" w:rsidRPr="00A71375">
        <w:t xml:space="preserve">provide the </w:t>
      </w:r>
      <w:r w:rsidR="003772C5" w:rsidRPr="00A71375">
        <w:t>name, affiliation, and curriculum vitae (if available)</w:t>
      </w:r>
      <w:r w:rsidR="00C80577" w:rsidRPr="00A71375">
        <w:t xml:space="preserve"> </w:t>
      </w:r>
      <w:r w:rsidR="003772C5" w:rsidRPr="00A71375">
        <w:t>of the proposed Monitoring Body member(s)</w:t>
      </w:r>
      <w:r w:rsidR="00744737" w:rsidRPr="00A71375">
        <w:t xml:space="preserve"> </w:t>
      </w:r>
      <w:r w:rsidR="00C80577" w:rsidRPr="00A71375">
        <w:t xml:space="preserve">to the NIAMS Executive Secretary </w:t>
      </w:r>
      <w:r w:rsidR="003772C5" w:rsidRPr="00A71375">
        <w:t>for</w:t>
      </w:r>
      <w:r w:rsidR="00C80577" w:rsidRPr="00A71375">
        <w:t xml:space="preserve"> a conflict of interest </w:t>
      </w:r>
      <w:r w:rsidR="00744737" w:rsidRPr="00A71375">
        <w:t xml:space="preserve">check </w:t>
      </w:r>
      <w:r w:rsidR="003772C5" w:rsidRPr="00A71375">
        <w:t>to</w:t>
      </w:r>
      <w:r w:rsidR="00C80577" w:rsidRPr="00A71375">
        <w:t xml:space="preserve"> be conducted. Once the </w:t>
      </w:r>
      <w:r w:rsidR="00744737" w:rsidRPr="00A71375">
        <w:t xml:space="preserve">conflict of interest check is complete, </w:t>
      </w:r>
      <w:r w:rsidR="00C80577" w:rsidRPr="00A71375">
        <w:t xml:space="preserve">this section should be updated </w:t>
      </w:r>
      <w:r w:rsidR="003772C5" w:rsidRPr="00A71375">
        <w:t>to indicate that the NIAMS did not identify any conflicts of interest for the Monitoring Body member(s)</w:t>
      </w:r>
      <w:r w:rsidR="00C80577" w:rsidRPr="00A71375">
        <w:t>.</w:t>
      </w:r>
      <w:r w:rsidRPr="00A71375">
        <w:t>}</w:t>
      </w:r>
    </w:p>
    <w:p w14:paraId="10A58A2B" w14:textId="6C8B2BA7" w:rsidR="00857191" w:rsidRPr="00A71375" w:rsidRDefault="00857191" w:rsidP="00EE1631">
      <w:pPr>
        <w:pStyle w:val="BodyText21"/>
        <w:keepNext/>
        <w:ind w:right="-14"/>
        <w:rPr>
          <w:rFonts w:ascii="Arial" w:hAnsi="Arial" w:cs="Arial"/>
          <w:b/>
          <w:i/>
          <w:color w:val="4472C4" w:themeColor="accent1"/>
          <w:szCs w:val="24"/>
        </w:rPr>
      </w:pPr>
      <w:r w:rsidRPr="00A71375">
        <w:rPr>
          <w:rFonts w:ascii="Arial" w:hAnsi="Arial" w:cs="Arial"/>
          <w:b/>
          <w:i/>
          <w:color w:val="4472C4" w:themeColor="accent1"/>
          <w:szCs w:val="24"/>
        </w:rPr>
        <w:lastRenderedPageBreak/>
        <w:t>{Begin sample text}</w:t>
      </w:r>
    </w:p>
    <w:p w14:paraId="0EB01C91" w14:textId="2AEA6BCD" w:rsidR="00504227" w:rsidRPr="00A71375" w:rsidRDefault="00DF140A" w:rsidP="00A44F70">
      <w:pPr>
        <w:pStyle w:val="BodyText"/>
      </w:pPr>
      <w:r w:rsidRPr="00A71375">
        <w:t>Monitoring body members</w:t>
      </w:r>
      <w:r w:rsidR="00504227" w:rsidRPr="00A71375">
        <w:rPr>
          <w:i/>
        </w:rPr>
        <w:t xml:space="preserve"> </w:t>
      </w:r>
      <w:r w:rsidR="00504227" w:rsidRPr="00A71375">
        <w:t xml:space="preserve">should have no direct involvement with the study investigators or intervention. Each member will sign a Conflict of Interest Statement which includes current affiliations, if any, with </w:t>
      </w:r>
      <w:r w:rsidR="00D16F7A" w:rsidRPr="00A71375">
        <w:t xml:space="preserve">any steering </w:t>
      </w:r>
      <w:r w:rsidR="003943FA" w:rsidRPr="00A71375">
        <w:t>committees</w:t>
      </w:r>
      <w:r w:rsidR="00D16F7A" w:rsidRPr="00A71375">
        <w:t xml:space="preserve"> or advisory councils associated with the study, </w:t>
      </w:r>
      <w:r w:rsidR="00504227" w:rsidRPr="00A71375">
        <w:t>pharmaceutical and biotechnology companies (e.g., stockholder, consultant), and any other relationship that could be perceived as a conflict of interest related to the study and/or associated with commercial</w:t>
      </w:r>
      <w:r w:rsidR="00D16F7A" w:rsidRPr="00A71375">
        <w:t xml:space="preserve"> or non-commercial</w:t>
      </w:r>
      <w:r w:rsidR="00504227" w:rsidRPr="00A71375">
        <w:t xml:space="preserve"> interests pertinent to study objectives. </w:t>
      </w:r>
      <w:bookmarkStart w:id="43" w:name="_Toc193777368"/>
    </w:p>
    <w:p w14:paraId="201ED13A" w14:textId="711990B9" w:rsidR="00857191" w:rsidRPr="00A71375" w:rsidRDefault="00857191" w:rsidP="00EE1631">
      <w:pPr>
        <w:pStyle w:val="BodyTextSample"/>
      </w:pPr>
      <w:r w:rsidRPr="00A71375">
        <w:t>{End sample text}</w:t>
      </w:r>
    </w:p>
    <w:p w14:paraId="0F752B04" w14:textId="7E3668C4" w:rsidR="00504227" w:rsidRPr="00A71375" w:rsidRDefault="000A2F06" w:rsidP="00A44F70">
      <w:pPr>
        <w:pStyle w:val="Heading2"/>
        <w:rPr>
          <w:i/>
        </w:rPr>
      </w:pPr>
      <w:bookmarkStart w:id="44" w:name="_Toc50553262"/>
      <w:r w:rsidRPr="00A71375">
        <w:t>5</w:t>
      </w:r>
      <w:r w:rsidR="00504227" w:rsidRPr="00A71375">
        <w:t>.5 Protection of Confidentiality</w:t>
      </w:r>
      <w:bookmarkEnd w:id="43"/>
      <w:bookmarkEnd w:id="44"/>
      <w:r w:rsidR="00504227" w:rsidRPr="00A71375">
        <w:t xml:space="preserve"> </w:t>
      </w:r>
    </w:p>
    <w:p w14:paraId="2E48D064" w14:textId="0B929DCE" w:rsidR="00504227" w:rsidRPr="00A71375" w:rsidRDefault="00857191" w:rsidP="00EE1631">
      <w:pPr>
        <w:pStyle w:val="BodyTextblue"/>
      </w:pPr>
      <w:r w:rsidRPr="00A71375">
        <w:t>{</w:t>
      </w:r>
      <w:r w:rsidR="00504227" w:rsidRPr="00A71375">
        <w:t xml:space="preserve">This section describes </w:t>
      </w:r>
      <w:r w:rsidR="003943FA" w:rsidRPr="00A71375">
        <w:t xml:space="preserve">how confidentiality of data </w:t>
      </w:r>
      <w:r w:rsidR="006B6CB2" w:rsidRPr="00A71375">
        <w:t>presented to</w:t>
      </w:r>
      <w:r w:rsidR="00DF140A" w:rsidRPr="00A71375">
        <w:t xml:space="preserve"> the </w:t>
      </w:r>
      <w:r w:rsidR="00CB2A48" w:rsidRPr="00A71375">
        <w:t>M</w:t>
      </w:r>
      <w:r w:rsidR="00DF140A" w:rsidRPr="00A71375">
        <w:t xml:space="preserve">onitoring </w:t>
      </w:r>
      <w:r w:rsidR="00CB2A48" w:rsidRPr="00A71375">
        <w:t xml:space="preserve">Body </w:t>
      </w:r>
      <w:r w:rsidR="003943FA" w:rsidRPr="00A71375">
        <w:t>will be protected.</w:t>
      </w:r>
      <w:r w:rsidRPr="00A71375">
        <w:t>}</w:t>
      </w:r>
    </w:p>
    <w:p w14:paraId="6566B189" w14:textId="0629156A" w:rsidR="00857191" w:rsidRPr="00A71375" w:rsidRDefault="00857191" w:rsidP="00EE1631">
      <w:pPr>
        <w:pStyle w:val="BodyTextSample"/>
      </w:pPr>
      <w:bookmarkStart w:id="45" w:name="_Toc193777369"/>
      <w:r w:rsidRPr="00A71375">
        <w:t>{Begin sample text}</w:t>
      </w:r>
    </w:p>
    <w:p w14:paraId="40895102" w14:textId="7812F701" w:rsidR="00857191" w:rsidRPr="00A71375" w:rsidRDefault="00D16F7A" w:rsidP="00A44F70">
      <w:pPr>
        <w:pStyle w:val="BodyText"/>
      </w:pPr>
      <w:r w:rsidRPr="00A71375">
        <w:t>Only masked d</w:t>
      </w:r>
      <w:r w:rsidR="00504227" w:rsidRPr="00A71375">
        <w:t>at</w:t>
      </w:r>
      <w:r w:rsidR="00DF140A" w:rsidRPr="00A71375">
        <w:t xml:space="preserve">a will be presented </w:t>
      </w:r>
      <w:r w:rsidR="00504227" w:rsidRPr="00A71375">
        <w:t>during the open sessions</w:t>
      </w:r>
      <w:r w:rsidR="00CA3699" w:rsidRPr="00A71375">
        <w:t xml:space="preserve"> </w:t>
      </w:r>
      <w:r w:rsidRPr="00A71375">
        <w:t>of the M</w:t>
      </w:r>
      <w:r w:rsidR="0058287D" w:rsidRPr="00A71375">
        <w:t xml:space="preserve">onitoring </w:t>
      </w:r>
      <w:r w:rsidRPr="00A71375">
        <w:t>B</w:t>
      </w:r>
      <w:r w:rsidR="0058287D" w:rsidRPr="00A71375">
        <w:t>ody</w:t>
      </w:r>
      <w:r w:rsidR="003772C5" w:rsidRPr="00A71375">
        <w:t xml:space="preserve"> meetings</w:t>
      </w:r>
      <w:r w:rsidRPr="00A71375">
        <w:t>.</w:t>
      </w:r>
      <w:r w:rsidR="00504227" w:rsidRPr="00A71375">
        <w:t xml:space="preserve"> </w:t>
      </w:r>
      <w:r w:rsidRPr="00A71375">
        <w:t xml:space="preserve">All </w:t>
      </w:r>
      <w:r w:rsidR="00504227" w:rsidRPr="00A71375">
        <w:t>data</w:t>
      </w:r>
      <w:r w:rsidRPr="00A71375">
        <w:t>, whether in a report or discussed during a MB meeting</w:t>
      </w:r>
      <w:r w:rsidR="003772C5" w:rsidRPr="00A71375">
        <w:t>,</w:t>
      </w:r>
      <w:r w:rsidR="00CA3699" w:rsidRPr="00A71375">
        <w:t xml:space="preserve"> </w:t>
      </w:r>
      <w:r w:rsidR="00504227" w:rsidRPr="00A71375">
        <w:t xml:space="preserve">are confidential. Participant identities </w:t>
      </w:r>
      <w:r w:rsidRPr="00A71375">
        <w:t xml:space="preserve">will be </w:t>
      </w:r>
      <w:r w:rsidR="007401FA" w:rsidRPr="00A71375">
        <w:t>kept</w:t>
      </w:r>
      <w:r w:rsidRPr="00A71375">
        <w:t xml:space="preserve"> confidential unless safety </w:t>
      </w:r>
      <w:r w:rsidR="007401FA" w:rsidRPr="00A71375">
        <w:t>concerns</w:t>
      </w:r>
      <w:r w:rsidRPr="00A71375">
        <w:t xml:space="preserve"> necessitate unmasking some or all data.</w:t>
      </w:r>
    </w:p>
    <w:p w14:paraId="15FA2DD4" w14:textId="099D459B" w:rsidR="00857191" w:rsidRPr="00A71375" w:rsidRDefault="00857191" w:rsidP="00EE1631">
      <w:pPr>
        <w:pStyle w:val="BodyTextSample"/>
      </w:pPr>
      <w:r w:rsidRPr="00A71375">
        <w:t>{End sample text}</w:t>
      </w:r>
    </w:p>
    <w:p w14:paraId="7412809E" w14:textId="5F541726" w:rsidR="00504227" w:rsidRPr="00A71375" w:rsidRDefault="000A2F06" w:rsidP="00A44F70">
      <w:pPr>
        <w:pStyle w:val="Heading2"/>
        <w:rPr>
          <w:i/>
        </w:rPr>
      </w:pPr>
      <w:bookmarkStart w:id="46" w:name="_Toc50553263"/>
      <w:r w:rsidRPr="00A71375">
        <w:t>5</w:t>
      </w:r>
      <w:r w:rsidR="00DF140A" w:rsidRPr="00A71375">
        <w:t xml:space="preserve">.6 Monitoring </w:t>
      </w:r>
      <w:r w:rsidR="00CB2A48" w:rsidRPr="00A71375">
        <w:t xml:space="preserve">Body </w:t>
      </w:r>
      <w:r w:rsidR="00504227" w:rsidRPr="00A71375">
        <w:t>Responsibilities</w:t>
      </w:r>
      <w:bookmarkEnd w:id="45"/>
      <w:bookmarkEnd w:id="46"/>
    </w:p>
    <w:p w14:paraId="684BBC8E" w14:textId="469D4505" w:rsidR="00504227" w:rsidRPr="00A71375" w:rsidRDefault="00857191" w:rsidP="00EE1631">
      <w:pPr>
        <w:pStyle w:val="BodyTextblue"/>
      </w:pPr>
      <w:r w:rsidRPr="00A71375">
        <w:t>{</w:t>
      </w:r>
      <w:r w:rsidR="00DF140A" w:rsidRPr="00A71375">
        <w:t>A c</w:t>
      </w:r>
      <w:r w:rsidR="00AD6EEE" w:rsidRPr="00A71375">
        <w:t>harter</w:t>
      </w:r>
      <w:r w:rsidR="00504227" w:rsidRPr="00A71375">
        <w:t xml:space="preserve"> provides a detailed list of</w:t>
      </w:r>
      <w:r w:rsidR="00DF140A" w:rsidRPr="00A71375">
        <w:t xml:space="preserve"> the </w:t>
      </w:r>
      <w:r w:rsidR="00CB2A48" w:rsidRPr="00A71375">
        <w:t>M</w:t>
      </w:r>
      <w:r w:rsidR="00DF140A" w:rsidRPr="00A71375">
        <w:t xml:space="preserve">onitoring </w:t>
      </w:r>
      <w:r w:rsidR="00CB2A48" w:rsidRPr="00A71375">
        <w:t xml:space="preserve">Body’s </w:t>
      </w:r>
      <w:r w:rsidR="00504227" w:rsidRPr="00A71375">
        <w:t>responsibilities</w:t>
      </w:r>
      <w:r w:rsidR="00C80577" w:rsidRPr="00A71375">
        <w:t xml:space="preserve">. </w:t>
      </w:r>
      <w:r w:rsidR="00B656E6" w:rsidRPr="00A71375">
        <w:t>Listed in the sample text b</w:t>
      </w:r>
      <w:r w:rsidR="00C80577" w:rsidRPr="00A71375">
        <w:t>elow</w:t>
      </w:r>
      <w:r w:rsidR="009B79EF" w:rsidRPr="00A71375">
        <w:t xml:space="preserve"> </w:t>
      </w:r>
      <w:r w:rsidR="00C80577" w:rsidRPr="00A71375">
        <w:t>are the</w:t>
      </w:r>
      <w:r w:rsidR="00B656E6" w:rsidRPr="00A71375">
        <w:t xml:space="preserve"> responsibilities for a </w:t>
      </w:r>
      <w:r w:rsidR="009B79EF" w:rsidRPr="00A71375">
        <w:t>NIAM</w:t>
      </w:r>
      <w:r w:rsidR="00C80577" w:rsidRPr="00A71375">
        <w:t>S-</w:t>
      </w:r>
      <w:r w:rsidR="009B79EF" w:rsidRPr="00A71375">
        <w:t xml:space="preserve">appointed </w:t>
      </w:r>
      <w:r w:rsidR="00CB2A48" w:rsidRPr="00A71375">
        <w:t>M</w:t>
      </w:r>
      <w:r w:rsidR="009B79EF" w:rsidRPr="00A71375">
        <w:t xml:space="preserve">onitoring </w:t>
      </w:r>
      <w:r w:rsidR="00CB2A48" w:rsidRPr="00A71375">
        <w:t>B</w:t>
      </w:r>
      <w:r w:rsidR="009B79EF" w:rsidRPr="00A71375">
        <w:t>ody.</w:t>
      </w:r>
      <w:r w:rsidR="00B656E6" w:rsidRPr="00A71375">
        <w:t xml:space="preserve"> </w:t>
      </w:r>
      <w:r w:rsidR="009B79EF" w:rsidRPr="00A71375">
        <w:t xml:space="preserve"> </w:t>
      </w:r>
      <w:r w:rsidR="00F91BBC" w:rsidRPr="00A71375">
        <w:t xml:space="preserve">Please ensure that </w:t>
      </w:r>
      <w:r w:rsidR="00B656E6" w:rsidRPr="00A71375">
        <w:t>all of the items</w:t>
      </w:r>
      <w:r w:rsidR="00F91BBC" w:rsidRPr="00A71375">
        <w:t xml:space="preserve"> </w:t>
      </w:r>
      <w:r w:rsidR="00B656E6" w:rsidRPr="00A71375">
        <w:t xml:space="preserve">are applicable for this study. For studies with an </w:t>
      </w:r>
      <w:proofErr w:type="gramStart"/>
      <w:r w:rsidR="00B656E6" w:rsidRPr="00A71375">
        <w:t>Internally-appointed</w:t>
      </w:r>
      <w:proofErr w:type="gramEnd"/>
      <w:r w:rsidR="00B656E6" w:rsidRPr="00A71375">
        <w:t xml:space="preserve"> </w:t>
      </w:r>
      <w:r w:rsidR="00CB2A48" w:rsidRPr="00A71375">
        <w:t>M</w:t>
      </w:r>
      <w:r w:rsidR="00B656E6" w:rsidRPr="00A71375">
        <w:t xml:space="preserve">onitoring </w:t>
      </w:r>
      <w:r w:rsidR="00CB2A48" w:rsidRPr="00A71375">
        <w:t>B</w:t>
      </w:r>
      <w:r w:rsidR="00B656E6" w:rsidRPr="00A71375">
        <w:t>ody, the study team should ensure that a detailed list of the Monitoring Body’s responsibilities are provided in this section.</w:t>
      </w:r>
      <w:r w:rsidRPr="00A71375">
        <w:t>}</w:t>
      </w:r>
    </w:p>
    <w:p w14:paraId="29BC767C" w14:textId="77777777" w:rsidR="00B656E6" w:rsidRPr="00A71375" w:rsidRDefault="00B656E6" w:rsidP="00EE1631">
      <w:pPr>
        <w:pStyle w:val="BodyTextSample"/>
      </w:pPr>
      <w:r w:rsidRPr="00A71375">
        <w:t>{Begin sample text}</w:t>
      </w:r>
    </w:p>
    <w:p w14:paraId="33DE8501" w14:textId="03200F29" w:rsidR="00B656E6" w:rsidRPr="00A71375" w:rsidRDefault="00B656E6" w:rsidP="00A44F70">
      <w:pPr>
        <w:pStyle w:val="BodyText"/>
      </w:pPr>
      <w:r w:rsidRPr="00A71375">
        <w:t>The following are the responsibilities of the NIAMS-appointed DSMB:</w:t>
      </w:r>
    </w:p>
    <w:p w14:paraId="5E01A9E5" w14:textId="1886EFEC"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Review the research protocol, Data and Safety Monitoring Plan (DSMP), and informed consent documents, including all proposed revisions. The Manual of Operating Procedures (MOP), which may contain the sections included above, is also reviewed</w:t>
      </w:r>
    </w:p>
    <w:p w14:paraId="00DF9FD8" w14:textId="0BAEEEB4"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 xml:space="preserve">Evaluate the progress of the study on an ongoing basis, as needed, including periodic assessments of data quality, participant recruitment, accrual and retention, participant risk versus benefit, performance of study site(s), and other factors that can affect the outcome </w:t>
      </w:r>
    </w:p>
    <w:p w14:paraId="1E03D94B" w14:textId="141D1F16"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lastRenderedPageBreak/>
        <w:t>Evaluate safety throughout the course of the study through the routine review of aggregated adverse event safety data, in addition to expedited review of unanticipated problems, serious adverse event reports, and protocol deviations impacting participant safety. The DSMB Safety Officer reviews the documentation provided by the study team and makes recommendations to the NIAMS regarding protection of the study participants</w:t>
      </w:r>
    </w:p>
    <w:p w14:paraId="14B3D217" w14:textId="416D81F7"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 xml:space="preserve">Evaluate proposals of new sites (that differ from the approved application) and make a recommendation to the NIAMS as to whether the enrollment at the site(s) is expected to enhance overall enrollment. Activities include evaluating the patient population pool, catchment area description, recruitment plan, and target enrollment for any new clinical sites </w:t>
      </w:r>
    </w:p>
    <w:p w14:paraId="518F720A" w14:textId="211FBD0B"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Consider the impact of factors external to the study when new information, such as scientific or therapeutic developments, becomes available and may affect safety of participants, their willingness to participate in the study or the ethics and conduct of the study</w:t>
      </w:r>
    </w:p>
    <w:p w14:paraId="0716DC3D" w14:textId="59A42071"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Assist the NIAMS by commenting on any problems with study conduct or performance</w:t>
      </w:r>
    </w:p>
    <w:p w14:paraId="130BCFDA" w14:textId="087D79E7"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 xml:space="preserve">Ensure that the plan for maintaining the confidentiality of the study data and the results by the investigative team is appropriate </w:t>
      </w:r>
    </w:p>
    <w:p w14:paraId="4731A0CE" w14:textId="50BA4724"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Review and evaluate requests for protocol modifications</w:t>
      </w:r>
    </w:p>
    <w:p w14:paraId="19ABABA9" w14:textId="2B5E1C62" w:rsidR="00F55C6E" w:rsidRPr="00A71375" w:rsidRDefault="00F55C6E" w:rsidP="00346573">
      <w:pPr>
        <w:numPr>
          <w:ilvl w:val="0"/>
          <w:numId w:val="14"/>
        </w:numPr>
        <w:tabs>
          <w:tab w:val="clear" w:pos="360"/>
        </w:tabs>
        <w:spacing w:after="120"/>
        <w:ind w:left="720"/>
        <w:rPr>
          <w:iCs/>
          <w:sz w:val="24"/>
          <w:szCs w:val="24"/>
        </w:rPr>
      </w:pPr>
      <w:r w:rsidRPr="00A71375">
        <w:rPr>
          <w:iCs/>
          <w:sz w:val="24"/>
          <w:szCs w:val="24"/>
        </w:rPr>
        <w:t xml:space="preserve">Review data after completion of each cohort to approve does escalation, </w:t>
      </w:r>
      <w:r w:rsidR="00F872A3" w:rsidRPr="00A71375">
        <w:rPr>
          <w:iCs/>
          <w:sz w:val="24"/>
          <w:szCs w:val="24"/>
        </w:rPr>
        <w:t>if applicable</w:t>
      </w:r>
    </w:p>
    <w:p w14:paraId="55F2EB08" w14:textId="15482113" w:rsidR="009E1048" w:rsidRPr="00A71375" w:rsidRDefault="009E1048" w:rsidP="00346573">
      <w:pPr>
        <w:numPr>
          <w:ilvl w:val="0"/>
          <w:numId w:val="14"/>
        </w:numPr>
        <w:tabs>
          <w:tab w:val="clear" w:pos="360"/>
        </w:tabs>
        <w:spacing w:after="120"/>
        <w:ind w:left="720"/>
        <w:rPr>
          <w:iCs/>
          <w:sz w:val="24"/>
          <w:szCs w:val="24"/>
        </w:rPr>
      </w:pPr>
      <w:r w:rsidRPr="00A71375">
        <w:rPr>
          <w:iCs/>
          <w:sz w:val="24"/>
          <w:szCs w:val="24"/>
        </w:rPr>
        <w:t xml:space="preserve">Review in advance of the study initiation the study specific stopping rules and plans for interim analyses as established by the PI and selected members of the study team. These plans outline the conditions under which a study may be stopped (e.g., difficulties in recruitment, retention, obtaining outcome measures, or other issues) </w:t>
      </w:r>
    </w:p>
    <w:p w14:paraId="49B57946" w14:textId="619877A2" w:rsidR="00B656E6" w:rsidRPr="00A71375" w:rsidRDefault="009E1048" w:rsidP="00B656E6">
      <w:pPr>
        <w:numPr>
          <w:ilvl w:val="0"/>
          <w:numId w:val="14"/>
        </w:numPr>
        <w:spacing w:after="120"/>
        <w:ind w:left="720"/>
        <w:rPr>
          <w:iCs/>
          <w:sz w:val="24"/>
          <w:szCs w:val="24"/>
        </w:rPr>
      </w:pPr>
      <w:r w:rsidRPr="00A71375">
        <w:rPr>
          <w:iCs/>
          <w:sz w:val="24"/>
          <w:szCs w:val="24"/>
        </w:rPr>
        <w:t>Review the interim analyses and/or accumulating data at the specified interval(s), and as appropriate and make a recommendation to continue, terminate, or modify the study based on observed benefit or harm in accordance with the planned stopping rules</w:t>
      </w:r>
    </w:p>
    <w:p w14:paraId="0953571F" w14:textId="21AE527F" w:rsidR="00BA3DEC" w:rsidRPr="00A71375" w:rsidRDefault="00B656E6" w:rsidP="00EE1631">
      <w:pPr>
        <w:pStyle w:val="BodyTextSample"/>
      </w:pPr>
      <w:r w:rsidRPr="00A71375">
        <w:t>{End sample text}</w:t>
      </w:r>
    </w:p>
    <w:p w14:paraId="104E9875" w14:textId="3F45D3E9" w:rsidR="6C71AB53" w:rsidRPr="00A71375" w:rsidRDefault="000A2F06" w:rsidP="00D711C0">
      <w:pPr>
        <w:pStyle w:val="Heading1"/>
      </w:pPr>
      <w:bookmarkStart w:id="47" w:name="_Toc50553264"/>
      <w:r w:rsidRPr="00A71375">
        <w:t>6</w:t>
      </w:r>
      <w:r w:rsidR="00BA3DEC" w:rsidRPr="00A71375">
        <w:t xml:space="preserve">.0 </w:t>
      </w:r>
      <w:r w:rsidR="6C71AB53" w:rsidRPr="00A71375">
        <w:t>DATA MANAGEMENT, QUALITY CONTROL</w:t>
      </w:r>
      <w:r w:rsidR="00491729" w:rsidRPr="00A71375">
        <w:t>,</w:t>
      </w:r>
      <w:r w:rsidR="6C71AB53" w:rsidRPr="00A71375">
        <w:t xml:space="preserve"> AND QUALITY ASSURANCE</w:t>
      </w:r>
      <w:bookmarkEnd w:id="47"/>
    </w:p>
    <w:p w14:paraId="3ADCBF22" w14:textId="5B6F66FF" w:rsidR="6C71AB53" w:rsidRPr="00A71375" w:rsidRDefault="00857191" w:rsidP="00EE1631">
      <w:pPr>
        <w:pStyle w:val="BodyTextblue"/>
      </w:pPr>
      <w:r w:rsidRPr="00A71375">
        <w:rPr>
          <w:rFonts w:eastAsia="Arial"/>
        </w:rPr>
        <w:t>{</w:t>
      </w:r>
      <w:r w:rsidR="0093454F" w:rsidRPr="00A71375">
        <w:rPr>
          <w:rFonts w:eastAsia="Arial"/>
        </w:rPr>
        <w:t>This section d</w:t>
      </w:r>
      <w:r w:rsidR="6C71AB53" w:rsidRPr="00A71375">
        <w:rPr>
          <w:rFonts w:eastAsia="Arial"/>
        </w:rPr>
        <w:t>escribe</w:t>
      </w:r>
      <w:r w:rsidR="0093454F" w:rsidRPr="00A71375">
        <w:rPr>
          <w:rFonts w:eastAsia="Arial"/>
        </w:rPr>
        <w:t>s</w:t>
      </w:r>
      <w:r w:rsidR="6C71AB53" w:rsidRPr="00A71375">
        <w:rPr>
          <w:rFonts w:eastAsia="Arial"/>
        </w:rPr>
        <w:t xml:space="preserve"> how the site will collect, document</w:t>
      </w:r>
      <w:r w:rsidR="00B656E6" w:rsidRPr="00A71375">
        <w:rPr>
          <w:rFonts w:eastAsia="Arial"/>
        </w:rPr>
        <w:t>,</w:t>
      </w:r>
      <w:r w:rsidR="6C71AB53" w:rsidRPr="00A71375">
        <w:rPr>
          <w:rFonts w:eastAsia="Arial"/>
        </w:rPr>
        <w:t xml:space="preserve"> and review the data. Who will </w:t>
      </w:r>
      <w:r w:rsidR="002E5EE7" w:rsidRPr="00A71375">
        <w:rPr>
          <w:rFonts w:eastAsia="Arial"/>
        </w:rPr>
        <w:t>be responsible for</w:t>
      </w:r>
      <w:r w:rsidR="6C71AB53" w:rsidRPr="00A71375">
        <w:rPr>
          <w:rFonts w:eastAsia="Arial"/>
        </w:rPr>
        <w:t xml:space="preserve"> data entry and ensure they are accurate and complete? Which database will be used? Does it have audit tracking capabilities?</w:t>
      </w:r>
      <w:r w:rsidR="000A2F06" w:rsidRPr="00A71375">
        <w:rPr>
          <w:rFonts w:eastAsia="Arial"/>
        </w:rPr>
        <w:t xml:space="preserve"> </w:t>
      </w:r>
      <w:r w:rsidR="00157BF9" w:rsidRPr="00A71375">
        <w:rPr>
          <w:rFonts w:eastAsia="Arial"/>
        </w:rPr>
        <w:t>What is the data query process and frequencies</w:t>
      </w:r>
      <w:r w:rsidR="00835AFF" w:rsidRPr="00A71375">
        <w:rPr>
          <w:rFonts w:eastAsia="Arial"/>
        </w:rPr>
        <w:t>? Are there</w:t>
      </w:r>
      <w:r w:rsidR="00157BF9" w:rsidRPr="00A71375">
        <w:rPr>
          <w:rFonts w:eastAsia="Arial"/>
        </w:rPr>
        <w:t xml:space="preserve"> any planned mitigation strategies in the event of non-compliance? </w:t>
      </w:r>
      <w:r w:rsidR="008A5BFC" w:rsidRPr="00A71375">
        <w:rPr>
          <w:rFonts w:eastAsia="Arial"/>
        </w:rPr>
        <w:t>What is the process for locking the final study datasets</w:t>
      </w:r>
      <w:r w:rsidR="00835AFF" w:rsidRPr="00A71375">
        <w:rPr>
          <w:rFonts w:eastAsia="Arial"/>
        </w:rPr>
        <w:t>? Are there any</w:t>
      </w:r>
      <w:r w:rsidR="008A5BFC" w:rsidRPr="00A71375">
        <w:rPr>
          <w:rFonts w:eastAsia="Arial"/>
        </w:rPr>
        <w:t xml:space="preserve"> procedures on data access and sharing as appropriate</w:t>
      </w:r>
      <w:r w:rsidR="00835AFF" w:rsidRPr="00A71375">
        <w:rPr>
          <w:rFonts w:eastAsia="Arial"/>
        </w:rPr>
        <w:t>? Is there a</w:t>
      </w:r>
      <w:r w:rsidR="005E52C7" w:rsidRPr="00A71375">
        <w:rPr>
          <w:rFonts w:eastAsia="Arial"/>
        </w:rPr>
        <w:t xml:space="preserve"> </w:t>
      </w:r>
      <w:r w:rsidR="005E52C7" w:rsidRPr="00A71375">
        <w:rPr>
          <w:rFonts w:eastAsia="Arial"/>
        </w:rPr>
        <w:lastRenderedPageBreak/>
        <w:t>d</w:t>
      </w:r>
      <w:r w:rsidR="6C71AB53" w:rsidRPr="00A71375">
        <w:rPr>
          <w:rFonts w:eastAsia="Arial"/>
        </w:rPr>
        <w:t>escription of security measures in place</w:t>
      </w:r>
      <w:r w:rsidR="00835AFF" w:rsidRPr="00A71375">
        <w:rPr>
          <w:rFonts w:eastAsia="Arial"/>
        </w:rPr>
        <w:t>?</w:t>
      </w:r>
      <w:r w:rsidR="002A1C9E" w:rsidRPr="00A71375">
        <w:rPr>
          <w:rFonts w:eastAsia="Arial"/>
        </w:rPr>
        <w:t xml:space="preserve"> </w:t>
      </w:r>
      <w:r w:rsidR="008A5BFC" w:rsidRPr="00A71375">
        <w:rPr>
          <w:rFonts w:eastAsia="Arial"/>
        </w:rPr>
        <w:t>(</w:t>
      </w:r>
      <w:r w:rsidR="00835AFF" w:rsidRPr="00A71375">
        <w:rPr>
          <w:rFonts w:eastAsia="Arial"/>
        </w:rPr>
        <w:t>I</w:t>
      </w:r>
      <w:r w:rsidR="002A1C9E" w:rsidRPr="00A71375">
        <w:rPr>
          <w:rFonts w:eastAsia="Arial"/>
        </w:rPr>
        <w:t>f you</w:t>
      </w:r>
      <w:r w:rsidR="00F91BBC" w:rsidRPr="00A71375">
        <w:rPr>
          <w:rFonts w:eastAsia="Arial"/>
        </w:rPr>
        <w:t xml:space="preserve"> have a separate </w:t>
      </w:r>
      <w:r w:rsidR="002A1C9E" w:rsidRPr="00A71375">
        <w:rPr>
          <w:rFonts w:eastAsia="Arial"/>
        </w:rPr>
        <w:t>Clinical Monitoring and Data Management Plan</w:t>
      </w:r>
      <w:r w:rsidR="00F91BBC" w:rsidRPr="00A71375">
        <w:rPr>
          <w:rFonts w:eastAsia="Arial"/>
        </w:rPr>
        <w:t xml:space="preserve">, </w:t>
      </w:r>
      <w:r w:rsidR="00835AFF" w:rsidRPr="00A71375">
        <w:rPr>
          <w:rFonts w:eastAsia="Arial"/>
        </w:rPr>
        <w:t xml:space="preserve">please reference it </w:t>
      </w:r>
      <w:r w:rsidR="00594FE9" w:rsidRPr="00A71375">
        <w:rPr>
          <w:rFonts w:eastAsia="Arial"/>
        </w:rPr>
        <w:t xml:space="preserve">and utilize that information </w:t>
      </w:r>
      <w:r w:rsidR="00D92244" w:rsidRPr="00A71375">
        <w:rPr>
          <w:rFonts w:eastAsia="Arial"/>
        </w:rPr>
        <w:t xml:space="preserve">to </w:t>
      </w:r>
      <w:r w:rsidR="00F91BBC" w:rsidRPr="00A71375">
        <w:rPr>
          <w:rFonts w:eastAsia="Arial"/>
        </w:rPr>
        <w:t xml:space="preserve">help populate </w:t>
      </w:r>
      <w:r w:rsidR="00D92244" w:rsidRPr="00A71375">
        <w:rPr>
          <w:rFonts w:eastAsia="Arial"/>
        </w:rPr>
        <w:t>this section</w:t>
      </w:r>
      <w:r w:rsidR="002A1C9E" w:rsidRPr="00A71375">
        <w:rPr>
          <w:rFonts w:eastAsia="Arial"/>
        </w:rPr>
        <w:t>.</w:t>
      </w:r>
      <w:r w:rsidR="008A5BFC" w:rsidRPr="00A71375">
        <w:rPr>
          <w:rFonts w:eastAsia="Arial"/>
        </w:rPr>
        <w:t>)</w:t>
      </w:r>
    </w:p>
    <w:p w14:paraId="2A1B169D" w14:textId="67AE90E5" w:rsidR="6C71AB53" w:rsidRPr="00A71375" w:rsidRDefault="6C71AB53" w:rsidP="00EE1631">
      <w:pPr>
        <w:pStyle w:val="BodyTextblue"/>
      </w:pPr>
      <w:r w:rsidRPr="00A71375">
        <w:rPr>
          <w:rFonts w:eastAsia="Arial"/>
        </w:rPr>
        <w:t>Each s</w:t>
      </w:r>
      <w:r w:rsidR="005E52C7" w:rsidRPr="00A71375">
        <w:rPr>
          <w:rFonts w:eastAsia="Arial"/>
        </w:rPr>
        <w:t>tudy</w:t>
      </w:r>
      <w:r w:rsidRPr="00A71375">
        <w:rPr>
          <w:rFonts w:eastAsia="Arial"/>
        </w:rPr>
        <w:t xml:space="preserve"> should have standard operating procedures (SOPs) and/or a quality management plan that describe</w:t>
      </w:r>
      <w:r w:rsidR="00594FE9" w:rsidRPr="00A71375">
        <w:rPr>
          <w:rFonts w:eastAsia="Arial"/>
        </w:rPr>
        <w:t xml:space="preserve"> the following</w:t>
      </w:r>
      <w:r w:rsidR="00AC520C" w:rsidRPr="00A71375">
        <w:rPr>
          <w:rFonts w:eastAsia="Arial"/>
        </w:rPr>
        <w:t xml:space="preserve"> (</w:t>
      </w:r>
      <w:r w:rsidR="009303DE" w:rsidRPr="00A71375">
        <w:rPr>
          <w:rFonts w:eastAsia="Arial"/>
        </w:rPr>
        <w:t>i</w:t>
      </w:r>
      <w:r w:rsidR="000F4401" w:rsidRPr="00A71375">
        <w:rPr>
          <w:rFonts w:eastAsia="Arial"/>
        </w:rPr>
        <w:t xml:space="preserve">f </w:t>
      </w:r>
      <w:r w:rsidR="00594FE9" w:rsidRPr="00A71375">
        <w:rPr>
          <w:rFonts w:eastAsia="Arial"/>
        </w:rPr>
        <w:t>this is</w:t>
      </w:r>
      <w:r w:rsidR="000F4401" w:rsidRPr="00A71375">
        <w:rPr>
          <w:rFonts w:eastAsia="Arial"/>
        </w:rPr>
        <w:t xml:space="preserve"> </w:t>
      </w:r>
      <w:r w:rsidR="000114A2" w:rsidRPr="00A71375">
        <w:rPr>
          <w:rFonts w:eastAsia="Arial"/>
        </w:rPr>
        <w:t xml:space="preserve">a </w:t>
      </w:r>
      <w:r w:rsidR="000F4401" w:rsidRPr="00A71375">
        <w:rPr>
          <w:rFonts w:eastAsia="Arial"/>
        </w:rPr>
        <w:t xml:space="preserve">multi-site study, each site should </w:t>
      </w:r>
      <w:r w:rsidR="003A4E74" w:rsidRPr="00A71375">
        <w:rPr>
          <w:rFonts w:eastAsia="Arial"/>
        </w:rPr>
        <w:t xml:space="preserve">have SOPs and </w:t>
      </w:r>
      <w:r w:rsidR="00594FE9" w:rsidRPr="00A71375">
        <w:rPr>
          <w:rFonts w:eastAsia="Arial"/>
        </w:rPr>
        <w:t xml:space="preserve">a </w:t>
      </w:r>
      <w:r w:rsidR="003A4E74" w:rsidRPr="00A71375">
        <w:rPr>
          <w:rFonts w:eastAsia="Arial"/>
        </w:rPr>
        <w:t>plan</w:t>
      </w:r>
      <w:r w:rsidR="009303DE" w:rsidRPr="00A71375">
        <w:rPr>
          <w:rFonts w:eastAsia="Arial"/>
        </w:rPr>
        <w:t>)</w:t>
      </w:r>
      <w:r w:rsidRPr="00A71375">
        <w:rPr>
          <w:rFonts w:eastAsia="Arial"/>
        </w:rPr>
        <w:t>:</w:t>
      </w:r>
    </w:p>
    <w:p w14:paraId="24691241" w14:textId="7A13ED1F" w:rsidR="6C71AB53" w:rsidRPr="00EE1631" w:rsidRDefault="6C71AB53" w:rsidP="00976B21">
      <w:pPr>
        <w:pStyle w:val="ListParagraph"/>
        <w:numPr>
          <w:ilvl w:val="0"/>
          <w:numId w:val="3"/>
        </w:numPr>
        <w:rPr>
          <w:rFonts w:eastAsia="Arial"/>
          <w:i/>
          <w:iCs/>
          <w:color w:val="4472C4" w:themeColor="accent1"/>
        </w:rPr>
      </w:pPr>
      <w:r w:rsidRPr="00EE1631">
        <w:rPr>
          <w:rFonts w:eastAsia="Arial"/>
          <w:i/>
          <w:iCs/>
          <w:color w:val="4472C4" w:themeColor="accent1"/>
        </w:rPr>
        <w:t>Staff training methods and how such training will be tracked</w:t>
      </w:r>
    </w:p>
    <w:p w14:paraId="040C402C" w14:textId="697CA92F" w:rsidR="6C71AB53" w:rsidRPr="00EE1631" w:rsidRDefault="6C71AB53" w:rsidP="00976B21">
      <w:pPr>
        <w:pStyle w:val="ListParagraph"/>
        <w:numPr>
          <w:ilvl w:val="0"/>
          <w:numId w:val="3"/>
        </w:numPr>
        <w:rPr>
          <w:rFonts w:eastAsia="Arial"/>
          <w:i/>
          <w:iCs/>
          <w:color w:val="4472C4" w:themeColor="accent1"/>
        </w:rPr>
      </w:pPr>
      <w:r w:rsidRPr="00EE1631">
        <w:rPr>
          <w:rFonts w:eastAsia="Arial"/>
          <w:i/>
          <w:iCs/>
          <w:color w:val="4472C4" w:themeColor="accent1"/>
        </w:rPr>
        <w:t>How data will be evaluated for compliance with the protocol and for accuracy in relation to source documents</w:t>
      </w:r>
    </w:p>
    <w:p w14:paraId="1BE7BBE1" w14:textId="59125A3B" w:rsidR="6C71AB53" w:rsidRPr="00EE1631" w:rsidRDefault="6C71AB53" w:rsidP="00976B21">
      <w:pPr>
        <w:pStyle w:val="ListParagraph"/>
        <w:numPr>
          <w:ilvl w:val="0"/>
          <w:numId w:val="3"/>
        </w:numPr>
        <w:rPr>
          <w:rFonts w:eastAsia="Arial"/>
          <w:i/>
          <w:iCs/>
          <w:color w:val="4472C4" w:themeColor="accent1"/>
        </w:rPr>
      </w:pPr>
      <w:r w:rsidRPr="00EE1631">
        <w:rPr>
          <w:rFonts w:eastAsia="Arial"/>
          <w:i/>
          <w:iCs/>
          <w:color w:val="4472C4" w:themeColor="accent1"/>
        </w:rPr>
        <w:t xml:space="preserve">The documents to be reviewed (e.g., </w:t>
      </w:r>
      <w:r w:rsidR="00390858" w:rsidRPr="00EE1631">
        <w:rPr>
          <w:rFonts w:eastAsia="Arial"/>
          <w:i/>
          <w:iCs/>
          <w:color w:val="4472C4" w:themeColor="accent1"/>
        </w:rPr>
        <w:t>case report form</w:t>
      </w:r>
      <w:r w:rsidRPr="00EE1631">
        <w:rPr>
          <w:rFonts w:eastAsia="Arial"/>
          <w:i/>
          <w:iCs/>
          <w:color w:val="4472C4" w:themeColor="accent1"/>
        </w:rPr>
        <w:t xml:space="preserve">s, clinic notes, product accountability records, specimen tracking logs, questionnaires), who is responsible, and the frequency for reviews </w:t>
      </w:r>
    </w:p>
    <w:p w14:paraId="363BA4B6" w14:textId="6A38DE21" w:rsidR="6C71AB53" w:rsidRPr="00EE1631" w:rsidRDefault="6C71AB53" w:rsidP="00976B21">
      <w:pPr>
        <w:pStyle w:val="ListParagraph"/>
        <w:numPr>
          <w:ilvl w:val="0"/>
          <w:numId w:val="3"/>
        </w:numPr>
        <w:rPr>
          <w:rFonts w:eastAsia="Arial"/>
          <w:i/>
          <w:iCs/>
          <w:color w:val="4472C4" w:themeColor="accent1"/>
        </w:rPr>
      </w:pPr>
      <w:r w:rsidRPr="00EE1631">
        <w:rPr>
          <w:rFonts w:eastAsia="Arial"/>
          <w:i/>
          <w:iCs/>
          <w:color w:val="4472C4" w:themeColor="accent1"/>
        </w:rPr>
        <w:t xml:space="preserve">Who will be responsible for addressing quality assurance </w:t>
      </w:r>
      <w:r w:rsidR="0093454F" w:rsidRPr="00EE1631">
        <w:rPr>
          <w:rFonts w:eastAsia="Arial"/>
          <w:i/>
          <w:iCs/>
          <w:color w:val="4472C4" w:themeColor="accent1"/>
        </w:rPr>
        <w:t xml:space="preserve">(QA) </w:t>
      </w:r>
      <w:r w:rsidRPr="00EE1631">
        <w:rPr>
          <w:rFonts w:eastAsia="Arial"/>
          <w:i/>
          <w:iCs/>
          <w:color w:val="4472C4" w:themeColor="accent1"/>
        </w:rPr>
        <w:t>issues (correcting procedures that are not in compliance with protocol) and quality control issues (correcting data entry</w:t>
      </w:r>
      <w:r w:rsidR="0075579D" w:rsidRPr="00EE1631">
        <w:rPr>
          <w:rFonts w:eastAsia="Arial"/>
          <w:i/>
          <w:iCs/>
          <w:color w:val="4472C4" w:themeColor="accent1"/>
        </w:rPr>
        <w:t xml:space="preserve"> errors</w:t>
      </w:r>
      <w:proofErr w:type="gramStart"/>
      <w:r w:rsidRPr="00EE1631">
        <w:rPr>
          <w:rFonts w:eastAsia="Arial"/>
          <w:i/>
          <w:iCs/>
          <w:color w:val="4472C4" w:themeColor="accent1"/>
        </w:rPr>
        <w:t>)</w:t>
      </w:r>
      <w:r w:rsidR="00B906FB" w:rsidRPr="00EE1631">
        <w:rPr>
          <w:rFonts w:eastAsia="Arial"/>
          <w:i/>
          <w:iCs/>
          <w:color w:val="4472C4" w:themeColor="accent1"/>
        </w:rPr>
        <w:t>.</w:t>
      </w:r>
      <w:proofErr w:type="gramEnd"/>
      <w:r w:rsidRPr="00EE1631">
        <w:rPr>
          <w:rFonts w:eastAsia="Arial"/>
          <w:i/>
          <w:iCs/>
          <w:color w:val="4472C4" w:themeColor="accent1"/>
        </w:rPr>
        <w:t xml:space="preserve"> It is anticipated that QA review and data verification will be performed by someone other than the individual originally collecting the data, or by double-data entry.  The frequency of internal QA review and measures to be taken for corrective action</w:t>
      </w:r>
      <w:r w:rsidR="00594FE9" w:rsidRPr="00EE1631">
        <w:rPr>
          <w:rFonts w:eastAsia="Arial"/>
          <w:i/>
          <w:iCs/>
          <w:color w:val="4472C4" w:themeColor="accent1"/>
        </w:rPr>
        <w:t xml:space="preserve"> (</w:t>
      </w:r>
      <w:r w:rsidRPr="00EE1631">
        <w:rPr>
          <w:rFonts w:eastAsia="Arial"/>
          <w:i/>
          <w:iCs/>
          <w:color w:val="4472C4" w:themeColor="accent1"/>
        </w:rPr>
        <w:t>e.g., for trends in errors</w:t>
      </w:r>
      <w:r w:rsidR="00594FE9" w:rsidRPr="00EE1631">
        <w:rPr>
          <w:rFonts w:eastAsia="Arial"/>
          <w:i/>
          <w:iCs/>
          <w:color w:val="4472C4" w:themeColor="accent1"/>
        </w:rPr>
        <w:t>)</w:t>
      </w:r>
      <w:r w:rsidRPr="00EE1631">
        <w:rPr>
          <w:rFonts w:eastAsia="Arial"/>
          <w:i/>
          <w:iCs/>
          <w:color w:val="4472C4" w:themeColor="accent1"/>
        </w:rPr>
        <w:t xml:space="preserve"> should be included  </w:t>
      </w:r>
    </w:p>
    <w:p w14:paraId="5F95C906" w14:textId="14CB19B5" w:rsidR="6C71AB53" w:rsidRPr="00EE1631" w:rsidRDefault="00594FE9" w:rsidP="00976B21">
      <w:pPr>
        <w:pStyle w:val="ListParagraph"/>
        <w:numPr>
          <w:ilvl w:val="0"/>
          <w:numId w:val="3"/>
        </w:numPr>
        <w:rPr>
          <w:rFonts w:eastAsia="Arial"/>
          <w:i/>
          <w:iCs/>
          <w:color w:val="4472C4" w:themeColor="accent1"/>
        </w:rPr>
      </w:pPr>
      <w:r w:rsidRPr="00EE1631">
        <w:rPr>
          <w:rFonts w:eastAsia="Arial"/>
          <w:i/>
          <w:iCs/>
          <w:color w:val="4472C4" w:themeColor="accent1"/>
        </w:rPr>
        <w:t>QA</w:t>
      </w:r>
      <w:r w:rsidR="00082FDF" w:rsidRPr="00EE1631">
        <w:rPr>
          <w:rFonts w:eastAsia="Arial"/>
          <w:i/>
          <w:iCs/>
          <w:color w:val="4472C4" w:themeColor="accent1"/>
        </w:rPr>
        <w:t xml:space="preserve"> measures for participant recruitment, enrollment, enrollment targets, and for the validity and integrity of the data</w:t>
      </w:r>
      <w:r w:rsidR="00082FDF" w:rsidRPr="00EE1631">
        <w:rPr>
          <w:rFonts w:eastAsia="Arial"/>
          <w:b/>
          <w:bCs/>
          <w:i/>
          <w:iCs/>
          <w:color w:val="4472C4" w:themeColor="accent1"/>
        </w:rPr>
        <w:t xml:space="preserve">. </w:t>
      </w:r>
      <w:hyperlink r:id="rId22" w:history="1">
        <w:r w:rsidR="00082FDF" w:rsidRPr="00EE1631">
          <w:rPr>
            <w:rStyle w:val="Hyperlink"/>
            <w:rFonts w:eastAsia="Arial"/>
            <w:b/>
            <w:bCs/>
            <w:i/>
            <w:iCs/>
            <w:color w:val="4472C4" w:themeColor="accent1"/>
          </w:rPr>
          <w:t>E6 Good Clinical Practice (R1): 1.46</w:t>
        </w:r>
      </w:hyperlink>
      <w:r w:rsidR="00082FDF" w:rsidRPr="00EE1631">
        <w:rPr>
          <w:rFonts w:eastAsia="Arial"/>
          <w:i/>
          <w:iCs/>
          <w:color w:val="4472C4" w:themeColor="accent1"/>
        </w:rPr>
        <w:t xml:space="preserve"> defines quality assurance as “All those planned and systematic actions that are established to ensure that the trial is performed and the data are generated, documented (recorded), and reported in compliance with Good Clinical Practice (GCP) and the applicable regulatory requirement(s)</w:t>
      </w:r>
      <w:r w:rsidR="0009766C" w:rsidRPr="00EE1631">
        <w:rPr>
          <w:rFonts w:eastAsia="Arial"/>
          <w:i/>
          <w:iCs/>
          <w:color w:val="4472C4" w:themeColor="accent1"/>
        </w:rPr>
        <w:t>”</w:t>
      </w:r>
      <w:r w:rsidR="00857191" w:rsidRPr="00EE1631">
        <w:rPr>
          <w:rFonts w:eastAsia="Arial"/>
          <w:i/>
          <w:iCs/>
          <w:color w:val="4472C4" w:themeColor="accent1"/>
        </w:rPr>
        <w:t>}</w:t>
      </w:r>
    </w:p>
    <w:sectPr w:rsidR="6C71AB53" w:rsidRPr="00EE1631" w:rsidSect="001D2C01">
      <w:footerReference w:type="default" r:id="rId23"/>
      <w:pgSz w:w="12060" w:h="15780"/>
      <w:pgMar w:top="1440" w:right="1440" w:bottom="1440" w:left="1440" w:header="720" w:footer="720" w:gutter="0"/>
      <w:pgNumType w:start="3"/>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Brown-Caines, Tanisha (NIH/NIAMS) [C]" w:date="2021-06-10T11:52:00Z" w:initials="BT([">
    <w:p w14:paraId="3556D86E" w14:textId="48E601D2" w:rsidR="00A44F70" w:rsidRDefault="00A44F70">
      <w:pPr>
        <w:pStyle w:val="CommentText"/>
      </w:pPr>
      <w:r>
        <w:rPr>
          <w:rStyle w:val="CommentReference"/>
        </w:rPr>
        <w:annotationRef/>
      </w:r>
      <w:r>
        <w:t>Neil, please add link once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56D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56D86E" w16cid:durableId="246C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C06B" w14:textId="77777777" w:rsidR="00B03F19" w:rsidRDefault="00B03F19" w:rsidP="00504227">
      <w:r>
        <w:separator/>
      </w:r>
    </w:p>
  </w:endnote>
  <w:endnote w:type="continuationSeparator" w:id="0">
    <w:p w14:paraId="4134B2C1" w14:textId="77777777" w:rsidR="00B03F19" w:rsidRDefault="00B03F19" w:rsidP="00504227">
      <w:r>
        <w:continuationSeparator/>
      </w:r>
    </w:p>
  </w:endnote>
  <w:endnote w:type="continuationNotice" w:id="1">
    <w:p w14:paraId="12F2E600" w14:textId="77777777" w:rsidR="00B03F19" w:rsidRDefault="00B03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E788" w14:textId="752FDBF0" w:rsidR="00A44F70" w:rsidRDefault="00A44F70">
    <w:pPr>
      <w:pStyle w:val="Footer"/>
    </w:pPr>
    <w:r w:rsidRPr="009768DE">
      <w:rPr>
        <w:noProof/>
        <w:sz w:val="20"/>
        <w:szCs w:val="20"/>
      </w:rPr>
      <w:fldChar w:fldCharType="begin"/>
    </w:r>
    <w:r w:rsidRPr="009768DE">
      <w:rPr>
        <w:noProof/>
        <w:sz w:val="20"/>
        <w:szCs w:val="20"/>
      </w:rPr>
      <w:instrText xml:space="preserve"> FILENAME \* MERGEFORMAT </w:instrText>
    </w:r>
    <w:r w:rsidRPr="009768DE">
      <w:rPr>
        <w:noProof/>
        <w:sz w:val="20"/>
        <w:szCs w:val="20"/>
      </w:rPr>
      <w:fldChar w:fldCharType="end"/>
    </w:r>
    <w:r>
      <w:rPr>
        <w:sz w:val="20"/>
        <w:szCs w:val="20"/>
      </w:rPr>
      <w:t>Version – 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6A65" w14:textId="77777777" w:rsidR="00A44F70" w:rsidRPr="00A35B07" w:rsidRDefault="00A44F70" w:rsidP="00504227">
    <w:pPr>
      <w:pStyle w:val="Footer"/>
      <w:rPr>
        <w:i/>
        <w:sz w:val="20"/>
        <w:szCs w:val="20"/>
      </w:rPr>
    </w:pPr>
    <w:r>
      <w:rPr>
        <w:i/>
        <w:sz w:val="20"/>
        <w:szCs w:val="20"/>
      </w:rPr>
      <w:t>Protocol Template, Version 1.0</w:t>
    </w:r>
    <w:r>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C373" w14:textId="7A6BB86F" w:rsidR="00A44F70" w:rsidRDefault="00A44F70" w:rsidP="00A40EDD">
    <w:pPr>
      <w:pStyle w:val="Footer"/>
    </w:pPr>
    <w:r w:rsidRPr="009768DE">
      <w:rPr>
        <w:noProof/>
        <w:sz w:val="20"/>
        <w:szCs w:val="20"/>
      </w:rPr>
      <w:fldChar w:fldCharType="begin"/>
    </w:r>
    <w:r w:rsidRPr="009768DE">
      <w:rPr>
        <w:noProof/>
        <w:sz w:val="20"/>
        <w:szCs w:val="20"/>
      </w:rPr>
      <w:instrText xml:space="preserve"> FILENAME \* MERGEFORMAT </w:instrText>
    </w:r>
    <w:r w:rsidRPr="009768DE">
      <w:rPr>
        <w:noProof/>
        <w:sz w:val="20"/>
        <w:szCs w:val="20"/>
      </w:rPr>
      <w:fldChar w:fldCharType="end"/>
    </w:r>
    <w:r>
      <w:rPr>
        <w:sz w:val="20"/>
        <w:szCs w:val="20"/>
      </w:rPr>
      <w:t>Version – December 2020</w:t>
    </w:r>
    <w:r>
      <w:tab/>
    </w:r>
    <w:r>
      <w:tab/>
    </w:r>
    <w:sdt>
      <w:sdtPr>
        <w:id w:val="-857887414"/>
        <w:docPartObj>
          <w:docPartGallery w:val="Page Numbers (Bottom of Page)"/>
          <w:docPartUnique/>
        </w:docPartObj>
      </w:sdtPr>
      <w:sdtEndPr/>
      <w:sdtContent>
        <w:sdt>
          <w:sdtPr>
            <w:id w:val="-1769616900"/>
            <w:docPartObj>
              <w:docPartGallery w:val="Page Numbers (Top of Page)"/>
              <w:docPartUnique/>
            </w:docPartObj>
          </w:sdtPr>
          <w:sdtEndPr/>
          <w:sdtContent>
            <w:r w:rsidRPr="00A40EDD">
              <w:rPr>
                <w:i/>
                <w:iCs/>
                <w:sz w:val="20"/>
                <w:szCs w:val="20"/>
              </w:rPr>
              <w:t xml:space="preserve">Page </w:t>
            </w:r>
            <w:r w:rsidRPr="00A40EDD">
              <w:rPr>
                <w:b/>
                <w:bCs/>
                <w:i/>
                <w:iCs/>
                <w:sz w:val="20"/>
                <w:szCs w:val="20"/>
              </w:rPr>
              <w:fldChar w:fldCharType="begin"/>
            </w:r>
            <w:r w:rsidRPr="00A40EDD">
              <w:rPr>
                <w:b/>
                <w:bCs/>
                <w:i/>
                <w:iCs/>
                <w:sz w:val="20"/>
                <w:szCs w:val="20"/>
              </w:rPr>
              <w:instrText xml:space="preserve"> PAGE </w:instrText>
            </w:r>
            <w:r w:rsidRPr="00A40EDD">
              <w:rPr>
                <w:b/>
                <w:bCs/>
                <w:i/>
                <w:iCs/>
                <w:sz w:val="20"/>
                <w:szCs w:val="20"/>
              </w:rPr>
              <w:fldChar w:fldCharType="separate"/>
            </w:r>
            <w:r w:rsidRPr="00A40EDD">
              <w:rPr>
                <w:b/>
                <w:bCs/>
                <w:i/>
                <w:iCs/>
                <w:noProof/>
                <w:sz w:val="20"/>
                <w:szCs w:val="20"/>
              </w:rPr>
              <w:t>2</w:t>
            </w:r>
            <w:r w:rsidRPr="00A40EDD">
              <w:rPr>
                <w:b/>
                <w:bCs/>
                <w:i/>
                <w:iCs/>
                <w:sz w:val="20"/>
                <w:szCs w:val="20"/>
              </w:rPr>
              <w:fldChar w:fldCharType="end"/>
            </w:r>
            <w:r w:rsidRPr="00A40EDD">
              <w:rPr>
                <w:i/>
                <w:iCs/>
                <w:sz w:val="20"/>
                <w:szCs w:val="20"/>
              </w:rPr>
              <w:t xml:space="preserve"> of </w:t>
            </w:r>
            <w:r w:rsidRPr="00A40EDD">
              <w:rPr>
                <w:b/>
                <w:bCs/>
                <w:i/>
                <w:iCs/>
                <w:sz w:val="20"/>
                <w:szCs w:val="20"/>
              </w:rPr>
              <w:fldChar w:fldCharType="begin"/>
            </w:r>
            <w:r w:rsidRPr="00A40EDD">
              <w:rPr>
                <w:b/>
                <w:bCs/>
                <w:i/>
                <w:iCs/>
                <w:sz w:val="20"/>
                <w:szCs w:val="20"/>
              </w:rPr>
              <w:instrText xml:space="preserve"> NUMPAGES  </w:instrText>
            </w:r>
            <w:r w:rsidRPr="00A40EDD">
              <w:rPr>
                <w:b/>
                <w:bCs/>
                <w:i/>
                <w:iCs/>
                <w:sz w:val="20"/>
                <w:szCs w:val="20"/>
              </w:rPr>
              <w:fldChar w:fldCharType="separate"/>
            </w:r>
            <w:r w:rsidRPr="00A40EDD">
              <w:rPr>
                <w:b/>
                <w:bCs/>
                <w:i/>
                <w:iCs/>
                <w:noProof/>
                <w:sz w:val="20"/>
                <w:szCs w:val="20"/>
              </w:rPr>
              <w:t>2</w:t>
            </w:r>
            <w:r w:rsidRPr="00A40EDD">
              <w:rPr>
                <w:b/>
                <w:bCs/>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223CC" w14:textId="77777777" w:rsidR="00B03F19" w:rsidRDefault="00B03F19" w:rsidP="00504227">
      <w:r>
        <w:separator/>
      </w:r>
    </w:p>
  </w:footnote>
  <w:footnote w:type="continuationSeparator" w:id="0">
    <w:p w14:paraId="195256C9" w14:textId="77777777" w:rsidR="00B03F19" w:rsidRDefault="00B03F19" w:rsidP="00504227">
      <w:r>
        <w:continuationSeparator/>
      </w:r>
    </w:p>
  </w:footnote>
  <w:footnote w:type="continuationNotice" w:id="1">
    <w:p w14:paraId="2A904337" w14:textId="77777777" w:rsidR="00B03F19" w:rsidRDefault="00B03F19"/>
  </w:footnote>
  <w:footnote w:id="2">
    <w:p w14:paraId="4432C4C0" w14:textId="11CC4B3D" w:rsidR="00A44F70" w:rsidRDefault="00A44F70">
      <w:pPr>
        <w:pStyle w:val="FootnoteText"/>
      </w:pPr>
      <w:r>
        <w:rPr>
          <w:rStyle w:val="FootnoteReference"/>
        </w:rPr>
        <w:footnoteRef/>
      </w:r>
      <w:r>
        <w:t xml:space="preserve"> Schulz </w:t>
      </w:r>
      <w:r w:rsidRPr="009229C0">
        <w:t>KF, Altman DG, Moher D, for the CONSORT Group. CONSORT 2010 Statement: updated guidelines for reporting parallel group randomized trials</w:t>
      </w:r>
      <w:r>
        <w:t xml:space="preserve">. </w:t>
      </w:r>
      <w:hyperlink r:id="rId1" w:history="1">
        <w:r w:rsidRPr="009229C0">
          <w:rPr>
            <w:rStyle w:val="Hyperlink"/>
          </w:rPr>
          <w:t>Ann Int Med 2010; 152</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921"/>
    <w:multiLevelType w:val="hybridMultilevel"/>
    <w:tmpl w:val="E3A4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16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976025"/>
    <w:multiLevelType w:val="hybridMultilevel"/>
    <w:tmpl w:val="774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C6088"/>
    <w:multiLevelType w:val="hybridMultilevel"/>
    <w:tmpl w:val="348C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7DE2"/>
    <w:multiLevelType w:val="hybridMultilevel"/>
    <w:tmpl w:val="4A38D33C"/>
    <w:lvl w:ilvl="0" w:tplc="3AC610BC">
      <w:start w:val="1"/>
      <w:numFmt w:val="bullet"/>
      <w:lvlText w:val=""/>
      <w:lvlJc w:val="left"/>
      <w:pPr>
        <w:ind w:left="720" w:hanging="360"/>
      </w:pPr>
      <w:rPr>
        <w:rFonts w:ascii="Symbol" w:hAnsi="Symbol" w:hint="default"/>
      </w:rPr>
    </w:lvl>
    <w:lvl w:ilvl="1" w:tplc="400695C6">
      <w:start w:val="1"/>
      <w:numFmt w:val="bullet"/>
      <w:lvlText w:val=""/>
      <w:lvlJc w:val="left"/>
      <w:pPr>
        <w:ind w:left="1440" w:hanging="360"/>
      </w:pPr>
      <w:rPr>
        <w:rFonts w:ascii="Symbol" w:hAnsi="Symbol" w:hint="default"/>
      </w:rPr>
    </w:lvl>
    <w:lvl w:ilvl="2" w:tplc="7A9ADB38">
      <w:start w:val="1"/>
      <w:numFmt w:val="bullet"/>
      <w:lvlText w:val=""/>
      <w:lvlJc w:val="left"/>
      <w:pPr>
        <w:ind w:left="2160" w:hanging="360"/>
      </w:pPr>
      <w:rPr>
        <w:rFonts w:ascii="Wingdings" w:hAnsi="Wingdings" w:hint="default"/>
      </w:rPr>
    </w:lvl>
    <w:lvl w:ilvl="3" w:tplc="72F80864">
      <w:start w:val="1"/>
      <w:numFmt w:val="bullet"/>
      <w:lvlText w:val=""/>
      <w:lvlJc w:val="left"/>
      <w:pPr>
        <w:ind w:left="2880" w:hanging="360"/>
      </w:pPr>
      <w:rPr>
        <w:rFonts w:ascii="Symbol" w:hAnsi="Symbol" w:hint="default"/>
      </w:rPr>
    </w:lvl>
    <w:lvl w:ilvl="4" w:tplc="53B823C2">
      <w:start w:val="1"/>
      <w:numFmt w:val="bullet"/>
      <w:lvlText w:val="o"/>
      <w:lvlJc w:val="left"/>
      <w:pPr>
        <w:ind w:left="3600" w:hanging="360"/>
      </w:pPr>
      <w:rPr>
        <w:rFonts w:ascii="Courier New" w:hAnsi="Courier New" w:hint="default"/>
      </w:rPr>
    </w:lvl>
    <w:lvl w:ilvl="5" w:tplc="1A523B90">
      <w:start w:val="1"/>
      <w:numFmt w:val="bullet"/>
      <w:lvlText w:val=""/>
      <w:lvlJc w:val="left"/>
      <w:pPr>
        <w:ind w:left="4320" w:hanging="360"/>
      </w:pPr>
      <w:rPr>
        <w:rFonts w:ascii="Wingdings" w:hAnsi="Wingdings" w:hint="default"/>
      </w:rPr>
    </w:lvl>
    <w:lvl w:ilvl="6" w:tplc="4C7C9130">
      <w:start w:val="1"/>
      <w:numFmt w:val="bullet"/>
      <w:lvlText w:val=""/>
      <w:lvlJc w:val="left"/>
      <w:pPr>
        <w:ind w:left="5040" w:hanging="360"/>
      </w:pPr>
      <w:rPr>
        <w:rFonts w:ascii="Symbol" w:hAnsi="Symbol" w:hint="default"/>
      </w:rPr>
    </w:lvl>
    <w:lvl w:ilvl="7" w:tplc="4572B72E">
      <w:start w:val="1"/>
      <w:numFmt w:val="bullet"/>
      <w:lvlText w:val="o"/>
      <w:lvlJc w:val="left"/>
      <w:pPr>
        <w:ind w:left="5760" w:hanging="360"/>
      </w:pPr>
      <w:rPr>
        <w:rFonts w:ascii="Courier New" w:hAnsi="Courier New" w:hint="default"/>
      </w:rPr>
    </w:lvl>
    <w:lvl w:ilvl="8" w:tplc="CCDCA5FE">
      <w:start w:val="1"/>
      <w:numFmt w:val="bullet"/>
      <w:lvlText w:val=""/>
      <w:lvlJc w:val="left"/>
      <w:pPr>
        <w:ind w:left="6480" w:hanging="360"/>
      </w:pPr>
      <w:rPr>
        <w:rFonts w:ascii="Wingdings" w:hAnsi="Wingdings" w:hint="default"/>
      </w:rPr>
    </w:lvl>
  </w:abstractNum>
  <w:abstractNum w:abstractNumId="5" w15:restartNumberingAfterBreak="0">
    <w:nsid w:val="127E0CB5"/>
    <w:multiLevelType w:val="hybridMultilevel"/>
    <w:tmpl w:val="7E90FA2A"/>
    <w:lvl w:ilvl="0" w:tplc="CE78560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856F1"/>
    <w:multiLevelType w:val="multilevel"/>
    <w:tmpl w:val="290C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F80367"/>
    <w:multiLevelType w:val="hybridMultilevel"/>
    <w:tmpl w:val="62F83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3364C"/>
    <w:multiLevelType w:val="multilevel"/>
    <w:tmpl w:val="900E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D78CA"/>
    <w:multiLevelType w:val="hybridMultilevel"/>
    <w:tmpl w:val="42E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72C76"/>
    <w:multiLevelType w:val="hybridMultilevel"/>
    <w:tmpl w:val="DC787FBA"/>
    <w:lvl w:ilvl="0" w:tplc="61B4C4C6">
      <w:start w:val="1"/>
      <w:numFmt w:val="bullet"/>
      <w:lvlText w:val=""/>
      <w:lvlJc w:val="left"/>
      <w:pPr>
        <w:ind w:left="720" w:hanging="360"/>
      </w:pPr>
      <w:rPr>
        <w:rFonts w:ascii="Symbol" w:hAnsi="Symbol" w:hint="default"/>
      </w:rPr>
    </w:lvl>
    <w:lvl w:ilvl="1" w:tplc="853A70E4">
      <w:start w:val="1"/>
      <w:numFmt w:val="bullet"/>
      <w:lvlText w:val="o"/>
      <w:lvlJc w:val="left"/>
      <w:pPr>
        <w:ind w:left="1440" w:hanging="360"/>
      </w:pPr>
      <w:rPr>
        <w:rFonts w:ascii="Courier New" w:hAnsi="Courier New" w:hint="default"/>
      </w:rPr>
    </w:lvl>
    <w:lvl w:ilvl="2" w:tplc="4A201B5C">
      <w:start w:val="1"/>
      <w:numFmt w:val="bullet"/>
      <w:lvlText w:val=""/>
      <w:lvlJc w:val="left"/>
      <w:pPr>
        <w:ind w:left="2160" w:hanging="360"/>
      </w:pPr>
      <w:rPr>
        <w:rFonts w:ascii="Wingdings" w:hAnsi="Wingdings" w:hint="default"/>
      </w:rPr>
    </w:lvl>
    <w:lvl w:ilvl="3" w:tplc="FC8407E8">
      <w:start w:val="1"/>
      <w:numFmt w:val="bullet"/>
      <w:lvlText w:val=""/>
      <w:lvlJc w:val="left"/>
      <w:pPr>
        <w:ind w:left="2880" w:hanging="360"/>
      </w:pPr>
      <w:rPr>
        <w:rFonts w:ascii="Symbol" w:hAnsi="Symbol" w:hint="default"/>
      </w:rPr>
    </w:lvl>
    <w:lvl w:ilvl="4" w:tplc="C6600AC2">
      <w:start w:val="1"/>
      <w:numFmt w:val="bullet"/>
      <w:lvlText w:val="o"/>
      <w:lvlJc w:val="left"/>
      <w:pPr>
        <w:ind w:left="3600" w:hanging="360"/>
      </w:pPr>
      <w:rPr>
        <w:rFonts w:ascii="Courier New" w:hAnsi="Courier New" w:hint="default"/>
      </w:rPr>
    </w:lvl>
    <w:lvl w:ilvl="5" w:tplc="1818B6C2">
      <w:start w:val="1"/>
      <w:numFmt w:val="bullet"/>
      <w:lvlText w:val=""/>
      <w:lvlJc w:val="left"/>
      <w:pPr>
        <w:ind w:left="4320" w:hanging="360"/>
      </w:pPr>
      <w:rPr>
        <w:rFonts w:ascii="Wingdings" w:hAnsi="Wingdings" w:hint="default"/>
      </w:rPr>
    </w:lvl>
    <w:lvl w:ilvl="6" w:tplc="BDB41772">
      <w:start w:val="1"/>
      <w:numFmt w:val="bullet"/>
      <w:lvlText w:val=""/>
      <w:lvlJc w:val="left"/>
      <w:pPr>
        <w:ind w:left="5040" w:hanging="360"/>
      </w:pPr>
      <w:rPr>
        <w:rFonts w:ascii="Symbol" w:hAnsi="Symbol" w:hint="default"/>
      </w:rPr>
    </w:lvl>
    <w:lvl w:ilvl="7" w:tplc="EB500E70">
      <w:start w:val="1"/>
      <w:numFmt w:val="bullet"/>
      <w:lvlText w:val="o"/>
      <w:lvlJc w:val="left"/>
      <w:pPr>
        <w:ind w:left="5760" w:hanging="360"/>
      </w:pPr>
      <w:rPr>
        <w:rFonts w:ascii="Courier New" w:hAnsi="Courier New" w:hint="default"/>
      </w:rPr>
    </w:lvl>
    <w:lvl w:ilvl="8" w:tplc="37809CEE">
      <w:start w:val="1"/>
      <w:numFmt w:val="bullet"/>
      <w:lvlText w:val=""/>
      <w:lvlJc w:val="left"/>
      <w:pPr>
        <w:ind w:left="6480" w:hanging="360"/>
      </w:pPr>
      <w:rPr>
        <w:rFonts w:ascii="Wingdings" w:hAnsi="Wingdings" w:hint="default"/>
      </w:rPr>
    </w:lvl>
  </w:abstractNum>
  <w:abstractNum w:abstractNumId="11" w15:restartNumberingAfterBreak="0">
    <w:nsid w:val="24A76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9D080B"/>
    <w:multiLevelType w:val="multilevel"/>
    <w:tmpl w:val="904E6A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D6D70A4"/>
    <w:multiLevelType w:val="multilevel"/>
    <w:tmpl w:val="9F08758E"/>
    <w:lvl w:ilvl="0">
      <w:start w:val="1"/>
      <w:numFmt w:val="decimal"/>
      <w:lvlText w:val="%1."/>
      <w:lvlJc w:val="left"/>
      <w:pPr>
        <w:ind w:left="720" w:hanging="360"/>
      </w:pPr>
      <w:rPr>
        <w:rFonts w:hint="default"/>
        <w:u w:val="none"/>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451A77"/>
    <w:multiLevelType w:val="hybridMultilevel"/>
    <w:tmpl w:val="208E7260"/>
    <w:lvl w:ilvl="0" w:tplc="6B869118">
      <w:start w:val="1"/>
      <w:numFmt w:val="bullet"/>
      <w:lvlText w:val=""/>
      <w:lvlJc w:val="left"/>
      <w:pPr>
        <w:ind w:left="720" w:hanging="360"/>
      </w:pPr>
      <w:rPr>
        <w:rFonts w:ascii="Symbol" w:hAnsi="Symbol" w:hint="default"/>
      </w:rPr>
    </w:lvl>
    <w:lvl w:ilvl="1" w:tplc="CA06C496">
      <w:start w:val="1"/>
      <w:numFmt w:val="bullet"/>
      <w:lvlText w:val="o"/>
      <w:lvlJc w:val="left"/>
      <w:pPr>
        <w:ind w:left="1440" w:hanging="360"/>
      </w:pPr>
      <w:rPr>
        <w:rFonts w:ascii="Courier New" w:hAnsi="Courier New" w:hint="default"/>
      </w:rPr>
    </w:lvl>
    <w:lvl w:ilvl="2" w:tplc="5CE41D78">
      <w:start w:val="1"/>
      <w:numFmt w:val="bullet"/>
      <w:lvlText w:val=""/>
      <w:lvlJc w:val="left"/>
      <w:pPr>
        <w:ind w:left="2160" w:hanging="360"/>
      </w:pPr>
      <w:rPr>
        <w:rFonts w:ascii="Wingdings" w:hAnsi="Wingdings" w:hint="default"/>
      </w:rPr>
    </w:lvl>
    <w:lvl w:ilvl="3" w:tplc="DB4EF944">
      <w:start w:val="1"/>
      <w:numFmt w:val="bullet"/>
      <w:lvlText w:val=""/>
      <w:lvlJc w:val="left"/>
      <w:pPr>
        <w:ind w:left="2880" w:hanging="360"/>
      </w:pPr>
      <w:rPr>
        <w:rFonts w:ascii="Symbol" w:hAnsi="Symbol" w:hint="default"/>
      </w:rPr>
    </w:lvl>
    <w:lvl w:ilvl="4" w:tplc="55FE8AA8">
      <w:start w:val="1"/>
      <w:numFmt w:val="bullet"/>
      <w:lvlText w:val="o"/>
      <w:lvlJc w:val="left"/>
      <w:pPr>
        <w:ind w:left="3600" w:hanging="360"/>
      </w:pPr>
      <w:rPr>
        <w:rFonts w:ascii="Courier New" w:hAnsi="Courier New" w:hint="default"/>
      </w:rPr>
    </w:lvl>
    <w:lvl w:ilvl="5" w:tplc="C37E7602">
      <w:start w:val="1"/>
      <w:numFmt w:val="bullet"/>
      <w:lvlText w:val=""/>
      <w:lvlJc w:val="left"/>
      <w:pPr>
        <w:ind w:left="4320" w:hanging="360"/>
      </w:pPr>
      <w:rPr>
        <w:rFonts w:ascii="Wingdings" w:hAnsi="Wingdings" w:hint="default"/>
      </w:rPr>
    </w:lvl>
    <w:lvl w:ilvl="6" w:tplc="9E744602">
      <w:start w:val="1"/>
      <w:numFmt w:val="bullet"/>
      <w:lvlText w:val=""/>
      <w:lvlJc w:val="left"/>
      <w:pPr>
        <w:ind w:left="5040" w:hanging="360"/>
      </w:pPr>
      <w:rPr>
        <w:rFonts w:ascii="Symbol" w:hAnsi="Symbol" w:hint="default"/>
      </w:rPr>
    </w:lvl>
    <w:lvl w:ilvl="7" w:tplc="4E9AC732">
      <w:start w:val="1"/>
      <w:numFmt w:val="bullet"/>
      <w:lvlText w:val="o"/>
      <w:lvlJc w:val="left"/>
      <w:pPr>
        <w:ind w:left="5760" w:hanging="360"/>
      </w:pPr>
      <w:rPr>
        <w:rFonts w:ascii="Courier New" w:hAnsi="Courier New" w:hint="default"/>
      </w:rPr>
    </w:lvl>
    <w:lvl w:ilvl="8" w:tplc="5E08F050">
      <w:start w:val="1"/>
      <w:numFmt w:val="bullet"/>
      <w:lvlText w:val=""/>
      <w:lvlJc w:val="left"/>
      <w:pPr>
        <w:ind w:left="6480" w:hanging="360"/>
      </w:pPr>
      <w:rPr>
        <w:rFonts w:ascii="Wingdings" w:hAnsi="Wingdings" w:hint="default"/>
      </w:rPr>
    </w:lvl>
  </w:abstractNum>
  <w:abstractNum w:abstractNumId="15" w15:restartNumberingAfterBreak="0">
    <w:nsid w:val="2F5A5756"/>
    <w:multiLevelType w:val="hybridMultilevel"/>
    <w:tmpl w:val="70144E50"/>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910104"/>
    <w:multiLevelType w:val="hybridMultilevel"/>
    <w:tmpl w:val="2F6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36E5F"/>
    <w:multiLevelType w:val="hybridMultilevel"/>
    <w:tmpl w:val="03EC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21B01"/>
    <w:multiLevelType w:val="hybridMultilevel"/>
    <w:tmpl w:val="3F40E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D95A7D"/>
    <w:multiLevelType w:val="hybridMultilevel"/>
    <w:tmpl w:val="585658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51172"/>
    <w:multiLevelType w:val="multilevel"/>
    <w:tmpl w:val="B672EA56"/>
    <w:lvl w:ilvl="0">
      <w:start w:val="1"/>
      <w:numFmt w:val="decimal"/>
      <w:pStyle w:val="List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FA0484"/>
    <w:multiLevelType w:val="hybridMultilevel"/>
    <w:tmpl w:val="3E40B1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C54BD7"/>
    <w:multiLevelType w:val="hybridMultilevel"/>
    <w:tmpl w:val="E36676CA"/>
    <w:lvl w:ilvl="0" w:tplc="5AC6D3DA">
      <w:start w:val="1"/>
      <w:numFmt w:val="bullet"/>
      <w:pStyle w:val="Style1"/>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92EBA"/>
    <w:multiLevelType w:val="hybridMultilevel"/>
    <w:tmpl w:val="5B38CB38"/>
    <w:lvl w:ilvl="0" w:tplc="8570AEA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9A59DD"/>
    <w:multiLevelType w:val="hybridMultilevel"/>
    <w:tmpl w:val="90D48A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5" w15:restartNumberingAfterBreak="0">
    <w:nsid w:val="62A777C8"/>
    <w:multiLevelType w:val="hybridMultilevel"/>
    <w:tmpl w:val="6ACC9122"/>
    <w:lvl w:ilvl="0" w:tplc="3DD0DC2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753C0228">
      <w:start w:val="1"/>
      <w:numFmt w:val="bullet"/>
      <w:lvlText w:val="o"/>
      <w:lvlJc w:val="left"/>
      <w:pPr>
        <w:ind w:left="3600" w:hanging="360"/>
      </w:pPr>
      <w:rPr>
        <w:rFonts w:ascii="Courier New" w:hAnsi="Courier New" w:hint="default"/>
      </w:rPr>
    </w:lvl>
    <w:lvl w:ilvl="5" w:tplc="2A44014E">
      <w:start w:val="1"/>
      <w:numFmt w:val="bullet"/>
      <w:lvlText w:val=""/>
      <w:lvlJc w:val="left"/>
      <w:pPr>
        <w:ind w:left="4320" w:hanging="360"/>
      </w:pPr>
      <w:rPr>
        <w:rFonts w:ascii="Wingdings" w:hAnsi="Wingdings" w:hint="default"/>
      </w:rPr>
    </w:lvl>
    <w:lvl w:ilvl="6" w:tplc="8E3628D2">
      <w:start w:val="1"/>
      <w:numFmt w:val="bullet"/>
      <w:lvlText w:val=""/>
      <w:lvlJc w:val="left"/>
      <w:pPr>
        <w:ind w:left="5040" w:hanging="360"/>
      </w:pPr>
      <w:rPr>
        <w:rFonts w:ascii="Symbol" w:hAnsi="Symbol" w:hint="default"/>
      </w:rPr>
    </w:lvl>
    <w:lvl w:ilvl="7" w:tplc="5C56E07C">
      <w:start w:val="1"/>
      <w:numFmt w:val="bullet"/>
      <w:lvlText w:val="o"/>
      <w:lvlJc w:val="left"/>
      <w:pPr>
        <w:ind w:left="5760" w:hanging="360"/>
      </w:pPr>
      <w:rPr>
        <w:rFonts w:ascii="Courier New" w:hAnsi="Courier New" w:hint="default"/>
      </w:rPr>
    </w:lvl>
    <w:lvl w:ilvl="8" w:tplc="70723290">
      <w:start w:val="1"/>
      <w:numFmt w:val="bullet"/>
      <w:lvlText w:val=""/>
      <w:lvlJc w:val="left"/>
      <w:pPr>
        <w:ind w:left="6480" w:hanging="360"/>
      </w:pPr>
      <w:rPr>
        <w:rFonts w:ascii="Wingdings" w:hAnsi="Wingdings" w:hint="default"/>
      </w:rPr>
    </w:lvl>
  </w:abstractNum>
  <w:abstractNum w:abstractNumId="26" w15:restartNumberingAfterBreak="0">
    <w:nsid w:val="634D4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DA7FF2"/>
    <w:multiLevelType w:val="hybridMultilevel"/>
    <w:tmpl w:val="B47C9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F59C8"/>
    <w:multiLevelType w:val="hybridMultilevel"/>
    <w:tmpl w:val="CB3EB5BE"/>
    <w:lvl w:ilvl="0" w:tplc="3DD0DC2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CB38AE98">
      <w:start w:val="1"/>
      <w:numFmt w:val="bullet"/>
      <w:lvlText w:val=""/>
      <w:lvlJc w:val="left"/>
      <w:pPr>
        <w:ind w:left="2880" w:hanging="360"/>
      </w:pPr>
      <w:rPr>
        <w:rFonts w:ascii="Symbol" w:hAnsi="Symbol" w:hint="default"/>
      </w:rPr>
    </w:lvl>
    <w:lvl w:ilvl="4" w:tplc="753C0228">
      <w:start w:val="1"/>
      <w:numFmt w:val="bullet"/>
      <w:lvlText w:val="o"/>
      <w:lvlJc w:val="left"/>
      <w:pPr>
        <w:ind w:left="3600" w:hanging="360"/>
      </w:pPr>
      <w:rPr>
        <w:rFonts w:ascii="Courier New" w:hAnsi="Courier New" w:hint="default"/>
      </w:rPr>
    </w:lvl>
    <w:lvl w:ilvl="5" w:tplc="2A44014E">
      <w:start w:val="1"/>
      <w:numFmt w:val="bullet"/>
      <w:lvlText w:val=""/>
      <w:lvlJc w:val="left"/>
      <w:pPr>
        <w:ind w:left="4320" w:hanging="360"/>
      </w:pPr>
      <w:rPr>
        <w:rFonts w:ascii="Wingdings" w:hAnsi="Wingdings" w:hint="default"/>
      </w:rPr>
    </w:lvl>
    <w:lvl w:ilvl="6" w:tplc="8E3628D2">
      <w:start w:val="1"/>
      <w:numFmt w:val="bullet"/>
      <w:lvlText w:val=""/>
      <w:lvlJc w:val="left"/>
      <w:pPr>
        <w:ind w:left="5040" w:hanging="360"/>
      </w:pPr>
      <w:rPr>
        <w:rFonts w:ascii="Symbol" w:hAnsi="Symbol" w:hint="default"/>
      </w:rPr>
    </w:lvl>
    <w:lvl w:ilvl="7" w:tplc="5C56E07C">
      <w:start w:val="1"/>
      <w:numFmt w:val="bullet"/>
      <w:lvlText w:val="o"/>
      <w:lvlJc w:val="left"/>
      <w:pPr>
        <w:ind w:left="5760" w:hanging="360"/>
      </w:pPr>
      <w:rPr>
        <w:rFonts w:ascii="Courier New" w:hAnsi="Courier New" w:hint="default"/>
      </w:rPr>
    </w:lvl>
    <w:lvl w:ilvl="8" w:tplc="70723290">
      <w:start w:val="1"/>
      <w:numFmt w:val="bullet"/>
      <w:lvlText w:val=""/>
      <w:lvlJc w:val="left"/>
      <w:pPr>
        <w:ind w:left="6480" w:hanging="360"/>
      </w:pPr>
      <w:rPr>
        <w:rFonts w:ascii="Wingdings" w:hAnsi="Wingdings" w:hint="default"/>
      </w:rPr>
    </w:lvl>
  </w:abstractNum>
  <w:abstractNum w:abstractNumId="29" w15:restartNumberingAfterBreak="0">
    <w:nsid w:val="71DA1500"/>
    <w:multiLevelType w:val="hybridMultilevel"/>
    <w:tmpl w:val="D088665E"/>
    <w:lvl w:ilvl="0" w:tplc="8CB69152">
      <w:start w:val="1"/>
      <w:numFmt w:val="decimal"/>
      <w:lvlText w:val="%1."/>
      <w:lvlJc w:val="left"/>
      <w:pPr>
        <w:ind w:left="720" w:hanging="360"/>
      </w:pPr>
    </w:lvl>
    <w:lvl w:ilvl="1" w:tplc="6FFA5A5C">
      <w:start w:val="1"/>
      <w:numFmt w:val="decimal"/>
      <w:lvlText w:val="%2."/>
      <w:lvlJc w:val="left"/>
      <w:pPr>
        <w:ind w:left="1440" w:hanging="360"/>
      </w:pPr>
    </w:lvl>
    <w:lvl w:ilvl="2" w:tplc="FAE6166E">
      <w:start w:val="1"/>
      <w:numFmt w:val="decimal"/>
      <w:lvlText w:val="%3."/>
      <w:lvlJc w:val="left"/>
      <w:pPr>
        <w:ind w:left="2160" w:hanging="180"/>
      </w:pPr>
    </w:lvl>
    <w:lvl w:ilvl="3" w:tplc="F6DE6B62">
      <w:start w:val="1"/>
      <w:numFmt w:val="decimal"/>
      <w:lvlText w:val="%4."/>
      <w:lvlJc w:val="left"/>
      <w:pPr>
        <w:ind w:left="2880" w:hanging="360"/>
      </w:pPr>
    </w:lvl>
    <w:lvl w:ilvl="4" w:tplc="F42A6F5C">
      <w:start w:val="1"/>
      <w:numFmt w:val="lowerLetter"/>
      <w:lvlText w:val="%5."/>
      <w:lvlJc w:val="left"/>
      <w:pPr>
        <w:ind w:left="3600" w:hanging="360"/>
      </w:pPr>
    </w:lvl>
    <w:lvl w:ilvl="5" w:tplc="A1469744">
      <w:start w:val="1"/>
      <w:numFmt w:val="lowerRoman"/>
      <w:lvlText w:val="%6."/>
      <w:lvlJc w:val="right"/>
      <w:pPr>
        <w:ind w:left="4320" w:hanging="180"/>
      </w:pPr>
    </w:lvl>
    <w:lvl w:ilvl="6" w:tplc="A3267BB2">
      <w:start w:val="1"/>
      <w:numFmt w:val="decimal"/>
      <w:lvlText w:val="%7."/>
      <w:lvlJc w:val="left"/>
      <w:pPr>
        <w:ind w:left="5040" w:hanging="360"/>
      </w:pPr>
    </w:lvl>
    <w:lvl w:ilvl="7" w:tplc="FB26AE18">
      <w:start w:val="1"/>
      <w:numFmt w:val="lowerLetter"/>
      <w:lvlText w:val="%8."/>
      <w:lvlJc w:val="left"/>
      <w:pPr>
        <w:ind w:left="5760" w:hanging="360"/>
      </w:pPr>
    </w:lvl>
    <w:lvl w:ilvl="8" w:tplc="3F32E134">
      <w:start w:val="1"/>
      <w:numFmt w:val="lowerRoman"/>
      <w:lvlText w:val="%9."/>
      <w:lvlJc w:val="right"/>
      <w:pPr>
        <w:ind w:left="6480" w:hanging="180"/>
      </w:pPr>
    </w:lvl>
  </w:abstractNum>
  <w:abstractNum w:abstractNumId="30" w15:restartNumberingAfterBreak="0">
    <w:nsid w:val="77E73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BF7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3F60F3"/>
    <w:multiLevelType w:val="hybridMultilevel"/>
    <w:tmpl w:val="4F62F60E"/>
    <w:lvl w:ilvl="0" w:tplc="3DD0DC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B38AE98">
      <w:start w:val="1"/>
      <w:numFmt w:val="bullet"/>
      <w:lvlText w:val=""/>
      <w:lvlJc w:val="left"/>
      <w:pPr>
        <w:ind w:left="2880" w:hanging="360"/>
      </w:pPr>
      <w:rPr>
        <w:rFonts w:ascii="Symbol" w:hAnsi="Symbol" w:hint="default"/>
      </w:rPr>
    </w:lvl>
    <w:lvl w:ilvl="4" w:tplc="753C0228">
      <w:start w:val="1"/>
      <w:numFmt w:val="bullet"/>
      <w:lvlText w:val="o"/>
      <w:lvlJc w:val="left"/>
      <w:pPr>
        <w:ind w:left="3600" w:hanging="360"/>
      </w:pPr>
      <w:rPr>
        <w:rFonts w:ascii="Courier New" w:hAnsi="Courier New" w:hint="default"/>
      </w:rPr>
    </w:lvl>
    <w:lvl w:ilvl="5" w:tplc="2A44014E">
      <w:start w:val="1"/>
      <w:numFmt w:val="bullet"/>
      <w:lvlText w:val=""/>
      <w:lvlJc w:val="left"/>
      <w:pPr>
        <w:ind w:left="4320" w:hanging="360"/>
      </w:pPr>
      <w:rPr>
        <w:rFonts w:ascii="Wingdings" w:hAnsi="Wingdings" w:hint="default"/>
      </w:rPr>
    </w:lvl>
    <w:lvl w:ilvl="6" w:tplc="8E3628D2">
      <w:start w:val="1"/>
      <w:numFmt w:val="bullet"/>
      <w:lvlText w:val=""/>
      <w:lvlJc w:val="left"/>
      <w:pPr>
        <w:ind w:left="5040" w:hanging="360"/>
      </w:pPr>
      <w:rPr>
        <w:rFonts w:ascii="Symbol" w:hAnsi="Symbol" w:hint="default"/>
      </w:rPr>
    </w:lvl>
    <w:lvl w:ilvl="7" w:tplc="5C56E07C">
      <w:start w:val="1"/>
      <w:numFmt w:val="bullet"/>
      <w:lvlText w:val="o"/>
      <w:lvlJc w:val="left"/>
      <w:pPr>
        <w:ind w:left="5760" w:hanging="360"/>
      </w:pPr>
      <w:rPr>
        <w:rFonts w:ascii="Courier New" w:hAnsi="Courier New" w:hint="default"/>
      </w:rPr>
    </w:lvl>
    <w:lvl w:ilvl="8" w:tplc="70723290">
      <w:start w:val="1"/>
      <w:numFmt w:val="bullet"/>
      <w:lvlText w:val=""/>
      <w:lvlJc w:val="left"/>
      <w:pPr>
        <w:ind w:left="6480" w:hanging="360"/>
      </w:pPr>
      <w:rPr>
        <w:rFonts w:ascii="Wingdings" w:hAnsi="Wingdings" w:hint="default"/>
      </w:rPr>
    </w:lvl>
  </w:abstractNum>
  <w:abstractNum w:abstractNumId="33" w15:restartNumberingAfterBreak="0">
    <w:nsid w:val="7B4B341C"/>
    <w:multiLevelType w:val="hybridMultilevel"/>
    <w:tmpl w:val="AD3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0"/>
  </w:num>
  <w:num w:numId="4">
    <w:abstractNumId w:val="29"/>
  </w:num>
  <w:num w:numId="5">
    <w:abstractNumId w:val="4"/>
  </w:num>
  <w:num w:numId="6">
    <w:abstractNumId w:val="22"/>
  </w:num>
  <w:num w:numId="7">
    <w:abstractNumId w:val="7"/>
  </w:num>
  <w:num w:numId="8">
    <w:abstractNumId w:val="18"/>
  </w:num>
  <w:num w:numId="9">
    <w:abstractNumId w:val="23"/>
  </w:num>
  <w:num w:numId="10">
    <w:abstractNumId w:val="19"/>
  </w:num>
  <w:num w:numId="11">
    <w:abstractNumId w:val="15"/>
  </w:num>
  <w:num w:numId="12">
    <w:abstractNumId w:val="9"/>
  </w:num>
  <w:num w:numId="13">
    <w:abstractNumId w:val="0"/>
  </w:num>
  <w:num w:numId="14">
    <w:abstractNumId w:val="31"/>
  </w:num>
  <w:num w:numId="15">
    <w:abstractNumId w:val="26"/>
  </w:num>
  <w:num w:numId="16">
    <w:abstractNumId w:val="1"/>
  </w:num>
  <w:num w:numId="17">
    <w:abstractNumId w:val="30"/>
  </w:num>
  <w:num w:numId="18">
    <w:abstractNumId w:val="11"/>
  </w:num>
  <w:num w:numId="19">
    <w:abstractNumId w:val="13"/>
  </w:num>
  <w:num w:numId="20">
    <w:abstractNumId w:val="8"/>
  </w:num>
  <w:num w:numId="21">
    <w:abstractNumId w:val="12"/>
  </w:num>
  <w:num w:numId="22">
    <w:abstractNumId w:val="6"/>
  </w:num>
  <w:num w:numId="23">
    <w:abstractNumId w:val="33"/>
  </w:num>
  <w:num w:numId="24">
    <w:abstractNumId w:val="16"/>
  </w:num>
  <w:num w:numId="25">
    <w:abstractNumId w:val="17"/>
  </w:num>
  <w:num w:numId="26">
    <w:abstractNumId w:val="5"/>
  </w:num>
  <w:num w:numId="27">
    <w:abstractNumId w:val="2"/>
  </w:num>
  <w:num w:numId="28">
    <w:abstractNumId w:val="25"/>
  </w:num>
  <w:num w:numId="29">
    <w:abstractNumId w:val="32"/>
  </w:num>
  <w:num w:numId="30">
    <w:abstractNumId w:val="24"/>
  </w:num>
  <w:num w:numId="31">
    <w:abstractNumId w:val="3"/>
  </w:num>
  <w:num w:numId="32">
    <w:abstractNumId w:val="21"/>
  </w:num>
  <w:num w:numId="33">
    <w:abstractNumId w:val="20"/>
  </w:num>
  <w:num w:numId="34">
    <w:abstractNumId w:val="27"/>
  </w:num>
  <w:num w:numId="3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own-Caines, Tanisha (NIH/NIAMS) [C]">
    <w15:presenceInfo w15:providerId="AD" w15:userId="S::browncainesta@nih.gov::533a96b3-5bf0-48e6-8e22-b00536fe2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42"/>
    <w:rsid w:val="00001A99"/>
    <w:rsid w:val="00002F44"/>
    <w:rsid w:val="00005A55"/>
    <w:rsid w:val="00007500"/>
    <w:rsid w:val="000114A2"/>
    <w:rsid w:val="00013C92"/>
    <w:rsid w:val="00015514"/>
    <w:rsid w:val="00017481"/>
    <w:rsid w:val="0001781E"/>
    <w:rsid w:val="00022922"/>
    <w:rsid w:val="000235FF"/>
    <w:rsid w:val="00023964"/>
    <w:rsid w:val="00026C60"/>
    <w:rsid w:val="00032025"/>
    <w:rsid w:val="00033516"/>
    <w:rsid w:val="00033693"/>
    <w:rsid w:val="00037CCF"/>
    <w:rsid w:val="00037E52"/>
    <w:rsid w:val="00040DA2"/>
    <w:rsid w:val="000417A6"/>
    <w:rsid w:val="00043A8F"/>
    <w:rsid w:val="00043C08"/>
    <w:rsid w:val="000473B6"/>
    <w:rsid w:val="00051197"/>
    <w:rsid w:val="00053ED2"/>
    <w:rsid w:val="00064F83"/>
    <w:rsid w:val="00067954"/>
    <w:rsid w:val="00075336"/>
    <w:rsid w:val="00081AE8"/>
    <w:rsid w:val="00082FDF"/>
    <w:rsid w:val="00083345"/>
    <w:rsid w:val="00084CBE"/>
    <w:rsid w:val="000854A0"/>
    <w:rsid w:val="00085D61"/>
    <w:rsid w:val="00093662"/>
    <w:rsid w:val="00096CAC"/>
    <w:rsid w:val="0009766C"/>
    <w:rsid w:val="000A2F06"/>
    <w:rsid w:val="000B1426"/>
    <w:rsid w:val="000C3212"/>
    <w:rsid w:val="000C4E39"/>
    <w:rsid w:val="000C59F5"/>
    <w:rsid w:val="000C7367"/>
    <w:rsid w:val="000D0F99"/>
    <w:rsid w:val="000D1B30"/>
    <w:rsid w:val="000D35A4"/>
    <w:rsid w:val="000D4477"/>
    <w:rsid w:val="000E229D"/>
    <w:rsid w:val="000E60D1"/>
    <w:rsid w:val="000E6D73"/>
    <w:rsid w:val="000E7933"/>
    <w:rsid w:val="000F3B24"/>
    <w:rsid w:val="000F3BDA"/>
    <w:rsid w:val="000F4401"/>
    <w:rsid w:val="000F4DAC"/>
    <w:rsid w:val="000F79AE"/>
    <w:rsid w:val="00100E22"/>
    <w:rsid w:val="0010761B"/>
    <w:rsid w:val="0011297B"/>
    <w:rsid w:val="001209E9"/>
    <w:rsid w:val="0012197C"/>
    <w:rsid w:val="0012540A"/>
    <w:rsid w:val="00131482"/>
    <w:rsid w:val="00131A2C"/>
    <w:rsid w:val="00133AAB"/>
    <w:rsid w:val="001374D1"/>
    <w:rsid w:val="0013791A"/>
    <w:rsid w:val="00143572"/>
    <w:rsid w:val="00144CBC"/>
    <w:rsid w:val="00145170"/>
    <w:rsid w:val="00150EBA"/>
    <w:rsid w:val="001511C0"/>
    <w:rsid w:val="00157BF9"/>
    <w:rsid w:val="001611DD"/>
    <w:rsid w:val="001637AC"/>
    <w:rsid w:val="00173273"/>
    <w:rsid w:val="001733AA"/>
    <w:rsid w:val="00176998"/>
    <w:rsid w:val="00180C62"/>
    <w:rsid w:val="00180F59"/>
    <w:rsid w:val="00187660"/>
    <w:rsid w:val="0019069C"/>
    <w:rsid w:val="001912AE"/>
    <w:rsid w:val="001918C3"/>
    <w:rsid w:val="00191DEC"/>
    <w:rsid w:val="00193BAF"/>
    <w:rsid w:val="001949BB"/>
    <w:rsid w:val="001976C1"/>
    <w:rsid w:val="001A561A"/>
    <w:rsid w:val="001A5E5E"/>
    <w:rsid w:val="001B395D"/>
    <w:rsid w:val="001B5E5C"/>
    <w:rsid w:val="001B6878"/>
    <w:rsid w:val="001C0EA2"/>
    <w:rsid w:val="001C2001"/>
    <w:rsid w:val="001C22A2"/>
    <w:rsid w:val="001C36FA"/>
    <w:rsid w:val="001D2C01"/>
    <w:rsid w:val="001D2ED2"/>
    <w:rsid w:val="001D3132"/>
    <w:rsid w:val="001D5B86"/>
    <w:rsid w:val="001D6327"/>
    <w:rsid w:val="001D63F8"/>
    <w:rsid w:val="001E0346"/>
    <w:rsid w:val="001E2956"/>
    <w:rsid w:val="001E787D"/>
    <w:rsid w:val="001F0186"/>
    <w:rsid w:val="001F4322"/>
    <w:rsid w:val="002017F9"/>
    <w:rsid w:val="00206462"/>
    <w:rsid w:val="002127A3"/>
    <w:rsid w:val="00214015"/>
    <w:rsid w:val="00216C88"/>
    <w:rsid w:val="00222495"/>
    <w:rsid w:val="002230DD"/>
    <w:rsid w:val="002250D9"/>
    <w:rsid w:val="002316DE"/>
    <w:rsid w:val="00233108"/>
    <w:rsid w:val="00233760"/>
    <w:rsid w:val="00233A55"/>
    <w:rsid w:val="00233C56"/>
    <w:rsid w:val="00233C73"/>
    <w:rsid w:val="00233C88"/>
    <w:rsid w:val="00234E0A"/>
    <w:rsid w:val="002355FE"/>
    <w:rsid w:val="002432D6"/>
    <w:rsid w:val="00244C7E"/>
    <w:rsid w:val="0024690B"/>
    <w:rsid w:val="00252A1E"/>
    <w:rsid w:val="00252CE2"/>
    <w:rsid w:val="00256AF5"/>
    <w:rsid w:val="002571CB"/>
    <w:rsid w:val="00263542"/>
    <w:rsid w:val="002644E1"/>
    <w:rsid w:val="00264DFC"/>
    <w:rsid w:val="002678D3"/>
    <w:rsid w:val="00270B5F"/>
    <w:rsid w:val="002737F4"/>
    <w:rsid w:val="00275889"/>
    <w:rsid w:val="00275DC8"/>
    <w:rsid w:val="00277E19"/>
    <w:rsid w:val="00282AB0"/>
    <w:rsid w:val="00283205"/>
    <w:rsid w:val="00283719"/>
    <w:rsid w:val="00284A18"/>
    <w:rsid w:val="00295F78"/>
    <w:rsid w:val="00297A21"/>
    <w:rsid w:val="002A001B"/>
    <w:rsid w:val="002A1C9E"/>
    <w:rsid w:val="002A24BC"/>
    <w:rsid w:val="002A6B9B"/>
    <w:rsid w:val="002B4966"/>
    <w:rsid w:val="002B609E"/>
    <w:rsid w:val="002C26AD"/>
    <w:rsid w:val="002C4418"/>
    <w:rsid w:val="002C7A5D"/>
    <w:rsid w:val="002D3C3C"/>
    <w:rsid w:val="002E29D3"/>
    <w:rsid w:val="002E5EE7"/>
    <w:rsid w:val="002E66BC"/>
    <w:rsid w:val="002F4D7A"/>
    <w:rsid w:val="0030621E"/>
    <w:rsid w:val="00310DC7"/>
    <w:rsid w:val="00317289"/>
    <w:rsid w:val="003172A8"/>
    <w:rsid w:val="00324FEE"/>
    <w:rsid w:val="00326874"/>
    <w:rsid w:val="00332B69"/>
    <w:rsid w:val="00334C82"/>
    <w:rsid w:val="0033730B"/>
    <w:rsid w:val="0034156C"/>
    <w:rsid w:val="00343734"/>
    <w:rsid w:val="00343CCB"/>
    <w:rsid w:val="0034557D"/>
    <w:rsid w:val="00345F88"/>
    <w:rsid w:val="00346573"/>
    <w:rsid w:val="003523DA"/>
    <w:rsid w:val="00353C7A"/>
    <w:rsid w:val="00356B90"/>
    <w:rsid w:val="0036078E"/>
    <w:rsid w:val="00360D08"/>
    <w:rsid w:val="003635ED"/>
    <w:rsid w:val="00370BA5"/>
    <w:rsid w:val="00373B57"/>
    <w:rsid w:val="00376689"/>
    <w:rsid w:val="003772C5"/>
    <w:rsid w:val="003853BE"/>
    <w:rsid w:val="003853E1"/>
    <w:rsid w:val="00386435"/>
    <w:rsid w:val="0038700E"/>
    <w:rsid w:val="00390858"/>
    <w:rsid w:val="0039119E"/>
    <w:rsid w:val="00391414"/>
    <w:rsid w:val="0039348B"/>
    <w:rsid w:val="003943FA"/>
    <w:rsid w:val="003960FB"/>
    <w:rsid w:val="003A4E74"/>
    <w:rsid w:val="003B33C1"/>
    <w:rsid w:val="003D04E3"/>
    <w:rsid w:val="003D17BF"/>
    <w:rsid w:val="003D1F93"/>
    <w:rsid w:val="003D3E1C"/>
    <w:rsid w:val="003D3F1C"/>
    <w:rsid w:val="003E0B51"/>
    <w:rsid w:val="003E2CD0"/>
    <w:rsid w:val="003E5757"/>
    <w:rsid w:val="003E6D17"/>
    <w:rsid w:val="003E7913"/>
    <w:rsid w:val="003F3640"/>
    <w:rsid w:val="003F4681"/>
    <w:rsid w:val="003F6C93"/>
    <w:rsid w:val="003F73BA"/>
    <w:rsid w:val="0040238D"/>
    <w:rsid w:val="00405AA6"/>
    <w:rsid w:val="00414DD3"/>
    <w:rsid w:val="00417357"/>
    <w:rsid w:val="00422B72"/>
    <w:rsid w:val="00424B69"/>
    <w:rsid w:val="0042646F"/>
    <w:rsid w:val="00426B86"/>
    <w:rsid w:val="00427866"/>
    <w:rsid w:val="0042793A"/>
    <w:rsid w:val="0043730E"/>
    <w:rsid w:val="00444464"/>
    <w:rsid w:val="00445146"/>
    <w:rsid w:val="00450DA1"/>
    <w:rsid w:val="0045162D"/>
    <w:rsid w:val="00451772"/>
    <w:rsid w:val="00451CCB"/>
    <w:rsid w:val="0045544A"/>
    <w:rsid w:val="00456C02"/>
    <w:rsid w:val="00457097"/>
    <w:rsid w:val="00462312"/>
    <w:rsid w:val="00470163"/>
    <w:rsid w:val="00471C76"/>
    <w:rsid w:val="00473991"/>
    <w:rsid w:val="00473A57"/>
    <w:rsid w:val="004773D9"/>
    <w:rsid w:val="004775F2"/>
    <w:rsid w:val="004779A8"/>
    <w:rsid w:val="00484F04"/>
    <w:rsid w:val="004879DB"/>
    <w:rsid w:val="00491729"/>
    <w:rsid w:val="00495E74"/>
    <w:rsid w:val="004A0D30"/>
    <w:rsid w:val="004A2569"/>
    <w:rsid w:val="004A28A3"/>
    <w:rsid w:val="004A765F"/>
    <w:rsid w:val="004B18A8"/>
    <w:rsid w:val="004B18E7"/>
    <w:rsid w:val="004B25DB"/>
    <w:rsid w:val="004C0B7D"/>
    <w:rsid w:val="004C2623"/>
    <w:rsid w:val="004C4AFC"/>
    <w:rsid w:val="004C4BF9"/>
    <w:rsid w:val="004D155F"/>
    <w:rsid w:val="004D1583"/>
    <w:rsid w:val="004D5589"/>
    <w:rsid w:val="004D66CA"/>
    <w:rsid w:val="004D68B7"/>
    <w:rsid w:val="004D7439"/>
    <w:rsid w:val="004E25F5"/>
    <w:rsid w:val="004F26B5"/>
    <w:rsid w:val="004F50EE"/>
    <w:rsid w:val="005009A6"/>
    <w:rsid w:val="00504175"/>
    <w:rsid w:val="00504227"/>
    <w:rsid w:val="005078A3"/>
    <w:rsid w:val="00507BDB"/>
    <w:rsid w:val="00512F12"/>
    <w:rsid w:val="005142E4"/>
    <w:rsid w:val="00520D25"/>
    <w:rsid w:val="0052242A"/>
    <w:rsid w:val="005235DF"/>
    <w:rsid w:val="00523940"/>
    <w:rsid w:val="005239AC"/>
    <w:rsid w:val="00524E77"/>
    <w:rsid w:val="0053213F"/>
    <w:rsid w:val="00535A0C"/>
    <w:rsid w:val="005360ED"/>
    <w:rsid w:val="0053641C"/>
    <w:rsid w:val="0054202E"/>
    <w:rsid w:val="00542487"/>
    <w:rsid w:val="00542AA9"/>
    <w:rsid w:val="0054563B"/>
    <w:rsid w:val="00552EEE"/>
    <w:rsid w:val="005629CF"/>
    <w:rsid w:val="00571FDA"/>
    <w:rsid w:val="00572497"/>
    <w:rsid w:val="00575A3B"/>
    <w:rsid w:val="0058287D"/>
    <w:rsid w:val="00587749"/>
    <w:rsid w:val="00591DF5"/>
    <w:rsid w:val="00593432"/>
    <w:rsid w:val="00594FE9"/>
    <w:rsid w:val="00595590"/>
    <w:rsid w:val="005970C7"/>
    <w:rsid w:val="005B66FE"/>
    <w:rsid w:val="005B6924"/>
    <w:rsid w:val="005C0512"/>
    <w:rsid w:val="005C05AF"/>
    <w:rsid w:val="005C173B"/>
    <w:rsid w:val="005C44AD"/>
    <w:rsid w:val="005D3158"/>
    <w:rsid w:val="005D3AB3"/>
    <w:rsid w:val="005D5561"/>
    <w:rsid w:val="005E1FA0"/>
    <w:rsid w:val="005E4FDC"/>
    <w:rsid w:val="005E52C7"/>
    <w:rsid w:val="005E5F64"/>
    <w:rsid w:val="005F0876"/>
    <w:rsid w:val="005F2BAC"/>
    <w:rsid w:val="005F3A1E"/>
    <w:rsid w:val="005F433D"/>
    <w:rsid w:val="005F7FC3"/>
    <w:rsid w:val="006036DC"/>
    <w:rsid w:val="00606C2D"/>
    <w:rsid w:val="00610727"/>
    <w:rsid w:val="00610C8F"/>
    <w:rsid w:val="0061102C"/>
    <w:rsid w:val="006129CF"/>
    <w:rsid w:val="00613E81"/>
    <w:rsid w:val="00614C2B"/>
    <w:rsid w:val="00622063"/>
    <w:rsid w:val="00623EE4"/>
    <w:rsid w:val="00626DD0"/>
    <w:rsid w:val="00630D56"/>
    <w:rsid w:val="0063148F"/>
    <w:rsid w:val="00632EEB"/>
    <w:rsid w:val="00636B78"/>
    <w:rsid w:val="00644596"/>
    <w:rsid w:val="006457A8"/>
    <w:rsid w:val="00646A90"/>
    <w:rsid w:val="00646F1B"/>
    <w:rsid w:val="00647423"/>
    <w:rsid w:val="00647D0A"/>
    <w:rsid w:val="00650801"/>
    <w:rsid w:val="00652D85"/>
    <w:rsid w:val="006569DA"/>
    <w:rsid w:val="00661604"/>
    <w:rsid w:val="006626C2"/>
    <w:rsid w:val="00663C92"/>
    <w:rsid w:val="006702C1"/>
    <w:rsid w:val="00671E74"/>
    <w:rsid w:val="00672D84"/>
    <w:rsid w:val="00683259"/>
    <w:rsid w:val="006877BD"/>
    <w:rsid w:val="00691075"/>
    <w:rsid w:val="00691B21"/>
    <w:rsid w:val="00692D18"/>
    <w:rsid w:val="00695F22"/>
    <w:rsid w:val="0069639C"/>
    <w:rsid w:val="00696AA5"/>
    <w:rsid w:val="00696B3B"/>
    <w:rsid w:val="006A2DCE"/>
    <w:rsid w:val="006B0262"/>
    <w:rsid w:val="006B151E"/>
    <w:rsid w:val="006B28DF"/>
    <w:rsid w:val="006B2EA5"/>
    <w:rsid w:val="006B2F09"/>
    <w:rsid w:val="006B4185"/>
    <w:rsid w:val="006B671A"/>
    <w:rsid w:val="006B6CB2"/>
    <w:rsid w:val="006C069D"/>
    <w:rsid w:val="006C41E1"/>
    <w:rsid w:val="006D1450"/>
    <w:rsid w:val="006D46F3"/>
    <w:rsid w:val="006D59AC"/>
    <w:rsid w:val="006E0D76"/>
    <w:rsid w:val="006E7644"/>
    <w:rsid w:val="006F0510"/>
    <w:rsid w:val="006F1AE8"/>
    <w:rsid w:val="006F402B"/>
    <w:rsid w:val="006F42C8"/>
    <w:rsid w:val="006F5A22"/>
    <w:rsid w:val="006F5D1E"/>
    <w:rsid w:val="007010BD"/>
    <w:rsid w:val="0070294B"/>
    <w:rsid w:val="00703EA8"/>
    <w:rsid w:val="0071157A"/>
    <w:rsid w:val="00716738"/>
    <w:rsid w:val="007227BD"/>
    <w:rsid w:val="00722A6F"/>
    <w:rsid w:val="0072755C"/>
    <w:rsid w:val="007275F0"/>
    <w:rsid w:val="00727D0F"/>
    <w:rsid w:val="00731AA4"/>
    <w:rsid w:val="00736904"/>
    <w:rsid w:val="007373CF"/>
    <w:rsid w:val="007401FA"/>
    <w:rsid w:val="00743193"/>
    <w:rsid w:val="00743AAE"/>
    <w:rsid w:val="00744737"/>
    <w:rsid w:val="00745833"/>
    <w:rsid w:val="00746FC4"/>
    <w:rsid w:val="00747611"/>
    <w:rsid w:val="00747DE2"/>
    <w:rsid w:val="00750648"/>
    <w:rsid w:val="00754291"/>
    <w:rsid w:val="00754A4F"/>
    <w:rsid w:val="0075579D"/>
    <w:rsid w:val="00755C47"/>
    <w:rsid w:val="00757666"/>
    <w:rsid w:val="00761882"/>
    <w:rsid w:val="007627E7"/>
    <w:rsid w:val="00770A01"/>
    <w:rsid w:val="00770DC1"/>
    <w:rsid w:val="00777E93"/>
    <w:rsid w:val="00781E25"/>
    <w:rsid w:val="007862D0"/>
    <w:rsid w:val="00787761"/>
    <w:rsid w:val="007912C7"/>
    <w:rsid w:val="0079145C"/>
    <w:rsid w:val="00795B24"/>
    <w:rsid w:val="007A1F46"/>
    <w:rsid w:val="007A3295"/>
    <w:rsid w:val="007A32B0"/>
    <w:rsid w:val="007B188B"/>
    <w:rsid w:val="007B79F4"/>
    <w:rsid w:val="007C132C"/>
    <w:rsid w:val="007C3B98"/>
    <w:rsid w:val="007C41B9"/>
    <w:rsid w:val="007C64E9"/>
    <w:rsid w:val="007C7098"/>
    <w:rsid w:val="007C7273"/>
    <w:rsid w:val="007D2E11"/>
    <w:rsid w:val="007D38EB"/>
    <w:rsid w:val="007E474A"/>
    <w:rsid w:val="007E4DA3"/>
    <w:rsid w:val="007E66D7"/>
    <w:rsid w:val="007F0311"/>
    <w:rsid w:val="007F0553"/>
    <w:rsid w:val="007F591E"/>
    <w:rsid w:val="00800A15"/>
    <w:rsid w:val="00802E29"/>
    <w:rsid w:val="00803BC7"/>
    <w:rsid w:val="00806531"/>
    <w:rsid w:val="0080765E"/>
    <w:rsid w:val="008133A4"/>
    <w:rsid w:val="00815805"/>
    <w:rsid w:val="0081611F"/>
    <w:rsid w:val="00817B84"/>
    <w:rsid w:val="00820FF9"/>
    <w:rsid w:val="00825464"/>
    <w:rsid w:val="00832966"/>
    <w:rsid w:val="00835AFF"/>
    <w:rsid w:val="00837CB9"/>
    <w:rsid w:val="00844416"/>
    <w:rsid w:val="0084461C"/>
    <w:rsid w:val="00845DE3"/>
    <w:rsid w:val="008463B1"/>
    <w:rsid w:val="0084695A"/>
    <w:rsid w:val="00850C95"/>
    <w:rsid w:val="00850E99"/>
    <w:rsid w:val="00851882"/>
    <w:rsid w:val="00854CF2"/>
    <w:rsid w:val="008551EC"/>
    <w:rsid w:val="00856F60"/>
    <w:rsid w:val="00857191"/>
    <w:rsid w:val="00863918"/>
    <w:rsid w:val="008643BB"/>
    <w:rsid w:val="008662E3"/>
    <w:rsid w:val="00881B4E"/>
    <w:rsid w:val="008853D4"/>
    <w:rsid w:val="00886479"/>
    <w:rsid w:val="0088702C"/>
    <w:rsid w:val="00887D72"/>
    <w:rsid w:val="00891012"/>
    <w:rsid w:val="008964DE"/>
    <w:rsid w:val="008A053B"/>
    <w:rsid w:val="008A229F"/>
    <w:rsid w:val="008A2F98"/>
    <w:rsid w:val="008A5BFC"/>
    <w:rsid w:val="008A603E"/>
    <w:rsid w:val="008A70DF"/>
    <w:rsid w:val="008C2EF7"/>
    <w:rsid w:val="008D4850"/>
    <w:rsid w:val="008D79E3"/>
    <w:rsid w:val="008E058B"/>
    <w:rsid w:val="008E2F36"/>
    <w:rsid w:val="008E556D"/>
    <w:rsid w:val="008E72A4"/>
    <w:rsid w:val="008E7900"/>
    <w:rsid w:val="008F4ED6"/>
    <w:rsid w:val="009002D4"/>
    <w:rsid w:val="00901837"/>
    <w:rsid w:val="00905216"/>
    <w:rsid w:val="009163FD"/>
    <w:rsid w:val="00917E1D"/>
    <w:rsid w:val="009250ED"/>
    <w:rsid w:val="009303DE"/>
    <w:rsid w:val="0093074F"/>
    <w:rsid w:val="0093171F"/>
    <w:rsid w:val="00931946"/>
    <w:rsid w:val="009329A6"/>
    <w:rsid w:val="00933166"/>
    <w:rsid w:val="0093454F"/>
    <w:rsid w:val="00934594"/>
    <w:rsid w:val="00940F45"/>
    <w:rsid w:val="009423E1"/>
    <w:rsid w:val="00942B34"/>
    <w:rsid w:val="009431E4"/>
    <w:rsid w:val="00946C93"/>
    <w:rsid w:val="00946FB5"/>
    <w:rsid w:val="00954E21"/>
    <w:rsid w:val="00961ABC"/>
    <w:rsid w:val="00966104"/>
    <w:rsid w:val="0096750E"/>
    <w:rsid w:val="00973B94"/>
    <w:rsid w:val="00975104"/>
    <w:rsid w:val="00976B21"/>
    <w:rsid w:val="0098197F"/>
    <w:rsid w:val="00982F11"/>
    <w:rsid w:val="00983F08"/>
    <w:rsid w:val="00984753"/>
    <w:rsid w:val="00991405"/>
    <w:rsid w:val="00992AB2"/>
    <w:rsid w:val="00992CCF"/>
    <w:rsid w:val="00996C4B"/>
    <w:rsid w:val="009A10FD"/>
    <w:rsid w:val="009A667D"/>
    <w:rsid w:val="009A6C10"/>
    <w:rsid w:val="009B4F39"/>
    <w:rsid w:val="009B4F85"/>
    <w:rsid w:val="009B6994"/>
    <w:rsid w:val="009B79EF"/>
    <w:rsid w:val="009C21C5"/>
    <w:rsid w:val="009D1361"/>
    <w:rsid w:val="009D5F33"/>
    <w:rsid w:val="009D6F63"/>
    <w:rsid w:val="009E1048"/>
    <w:rsid w:val="009E1429"/>
    <w:rsid w:val="009E1BAA"/>
    <w:rsid w:val="009E4F4D"/>
    <w:rsid w:val="009E62FB"/>
    <w:rsid w:val="009E6E06"/>
    <w:rsid w:val="009F0A19"/>
    <w:rsid w:val="009F13CF"/>
    <w:rsid w:val="009F1F11"/>
    <w:rsid w:val="009F2671"/>
    <w:rsid w:val="009F2DB9"/>
    <w:rsid w:val="009F3D33"/>
    <w:rsid w:val="009F45B6"/>
    <w:rsid w:val="009F4D58"/>
    <w:rsid w:val="009F5242"/>
    <w:rsid w:val="00A00D9A"/>
    <w:rsid w:val="00A05D0A"/>
    <w:rsid w:val="00A07FED"/>
    <w:rsid w:val="00A1120D"/>
    <w:rsid w:val="00A2041E"/>
    <w:rsid w:val="00A20CA3"/>
    <w:rsid w:val="00A22334"/>
    <w:rsid w:val="00A2640D"/>
    <w:rsid w:val="00A30D57"/>
    <w:rsid w:val="00A37CC8"/>
    <w:rsid w:val="00A40EDD"/>
    <w:rsid w:val="00A43576"/>
    <w:rsid w:val="00A43919"/>
    <w:rsid w:val="00A4499A"/>
    <w:rsid w:val="00A44B52"/>
    <w:rsid w:val="00A44F70"/>
    <w:rsid w:val="00A46A46"/>
    <w:rsid w:val="00A46B3D"/>
    <w:rsid w:val="00A53287"/>
    <w:rsid w:val="00A55AE0"/>
    <w:rsid w:val="00A62746"/>
    <w:rsid w:val="00A650D2"/>
    <w:rsid w:val="00A70158"/>
    <w:rsid w:val="00A71375"/>
    <w:rsid w:val="00A716DF"/>
    <w:rsid w:val="00A71C18"/>
    <w:rsid w:val="00A726DC"/>
    <w:rsid w:val="00A747F5"/>
    <w:rsid w:val="00A76B62"/>
    <w:rsid w:val="00A82F5E"/>
    <w:rsid w:val="00A9034E"/>
    <w:rsid w:val="00A9479B"/>
    <w:rsid w:val="00A9761B"/>
    <w:rsid w:val="00A97EBF"/>
    <w:rsid w:val="00AA112A"/>
    <w:rsid w:val="00AA563A"/>
    <w:rsid w:val="00AA5FFC"/>
    <w:rsid w:val="00AA7290"/>
    <w:rsid w:val="00AB4FF6"/>
    <w:rsid w:val="00AC1329"/>
    <w:rsid w:val="00AC319F"/>
    <w:rsid w:val="00AC4E2C"/>
    <w:rsid w:val="00AC520C"/>
    <w:rsid w:val="00AC70C2"/>
    <w:rsid w:val="00AC715D"/>
    <w:rsid w:val="00AD1C62"/>
    <w:rsid w:val="00AD4F2F"/>
    <w:rsid w:val="00AD6EEE"/>
    <w:rsid w:val="00AE0D15"/>
    <w:rsid w:val="00AE3D4B"/>
    <w:rsid w:val="00AE413F"/>
    <w:rsid w:val="00AE75C9"/>
    <w:rsid w:val="00AF0343"/>
    <w:rsid w:val="00AF0B3F"/>
    <w:rsid w:val="00AF40C2"/>
    <w:rsid w:val="00B018BB"/>
    <w:rsid w:val="00B03F19"/>
    <w:rsid w:val="00B04083"/>
    <w:rsid w:val="00B10205"/>
    <w:rsid w:val="00B11D9F"/>
    <w:rsid w:val="00B12060"/>
    <w:rsid w:val="00B13519"/>
    <w:rsid w:val="00B20DE7"/>
    <w:rsid w:val="00B30D0D"/>
    <w:rsid w:val="00B32A88"/>
    <w:rsid w:val="00B32ACF"/>
    <w:rsid w:val="00B41E84"/>
    <w:rsid w:val="00B425E9"/>
    <w:rsid w:val="00B427A3"/>
    <w:rsid w:val="00B468D9"/>
    <w:rsid w:val="00B51E1F"/>
    <w:rsid w:val="00B52A56"/>
    <w:rsid w:val="00B54B18"/>
    <w:rsid w:val="00B656E6"/>
    <w:rsid w:val="00B76849"/>
    <w:rsid w:val="00B8031C"/>
    <w:rsid w:val="00B81974"/>
    <w:rsid w:val="00B82309"/>
    <w:rsid w:val="00B84BC3"/>
    <w:rsid w:val="00B906FB"/>
    <w:rsid w:val="00B90ADA"/>
    <w:rsid w:val="00B9529F"/>
    <w:rsid w:val="00BA0DBF"/>
    <w:rsid w:val="00BA3457"/>
    <w:rsid w:val="00BA3DEC"/>
    <w:rsid w:val="00BC393B"/>
    <w:rsid w:val="00BC5A4C"/>
    <w:rsid w:val="00BE2D7D"/>
    <w:rsid w:val="00BE4A48"/>
    <w:rsid w:val="00BF3726"/>
    <w:rsid w:val="00BF69D6"/>
    <w:rsid w:val="00C01B56"/>
    <w:rsid w:val="00C027B1"/>
    <w:rsid w:val="00C0397A"/>
    <w:rsid w:val="00C062A7"/>
    <w:rsid w:val="00C13A85"/>
    <w:rsid w:val="00C202DF"/>
    <w:rsid w:val="00C2512F"/>
    <w:rsid w:val="00C30AC9"/>
    <w:rsid w:val="00C3386F"/>
    <w:rsid w:val="00C355B8"/>
    <w:rsid w:val="00C36941"/>
    <w:rsid w:val="00C36F2E"/>
    <w:rsid w:val="00C40584"/>
    <w:rsid w:val="00C4303B"/>
    <w:rsid w:val="00C503B4"/>
    <w:rsid w:val="00C51C2F"/>
    <w:rsid w:val="00C530C2"/>
    <w:rsid w:val="00C539EC"/>
    <w:rsid w:val="00C53DA9"/>
    <w:rsid w:val="00C5623C"/>
    <w:rsid w:val="00C60140"/>
    <w:rsid w:val="00C668F9"/>
    <w:rsid w:val="00C70C54"/>
    <w:rsid w:val="00C7505A"/>
    <w:rsid w:val="00C80577"/>
    <w:rsid w:val="00C80F9F"/>
    <w:rsid w:val="00C838CA"/>
    <w:rsid w:val="00C93BA5"/>
    <w:rsid w:val="00CA26EA"/>
    <w:rsid w:val="00CA27A9"/>
    <w:rsid w:val="00CA2876"/>
    <w:rsid w:val="00CA3699"/>
    <w:rsid w:val="00CA47E3"/>
    <w:rsid w:val="00CB2060"/>
    <w:rsid w:val="00CB2402"/>
    <w:rsid w:val="00CB2A48"/>
    <w:rsid w:val="00CB2D1C"/>
    <w:rsid w:val="00CC0AA4"/>
    <w:rsid w:val="00CC11DE"/>
    <w:rsid w:val="00CC3698"/>
    <w:rsid w:val="00CC55F3"/>
    <w:rsid w:val="00CC68E8"/>
    <w:rsid w:val="00CD0E48"/>
    <w:rsid w:val="00CD2616"/>
    <w:rsid w:val="00CD4FAE"/>
    <w:rsid w:val="00CE0FDC"/>
    <w:rsid w:val="00CE6DC7"/>
    <w:rsid w:val="00CE7DD0"/>
    <w:rsid w:val="00CF1982"/>
    <w:rsid w:val="00CF2204"/>
    <w:rsid w:val="00CF4B72"/>
    <w:rsid w:val="00CF7022"/>
    <w:rsid w:val="00CF7744"/>
    <w:rsid w:val="00D01CDB"/>
    <w:rsid w:val="00D075A7"/>
    <w:rsid w:val="00D109F1"/>
    <w:rsid w:val="00D1181E"/>
    <w:rsid w:val="00D16F7A"/>
    <w:rsid w:val="00D205FC"/>
    <w:rsid w:val="00D21818"/>
    <w:rsid w:val="00D23824"/>
    <w:rsid w:val="00D251EA"/>
    <w:rsid w:val="00D25338"/>
    <w:rsid w:val="00D256C0"/>
    <w:rsid w:val="00D26F67"/>
    <w:rsid w:val="00D339DE"/>
    <w:rsid w:val="00D36342"/>
    <w:rsid w:val="00D409CB"/>
    <w:rsid w:val="00D40CCD"/>
    <w:rsid w:val="00D4102C"/>
    <w:rsid w:val="00D42BE4"/>
    <w:rsid w:val="00D44807"/>
    <w:rsid w:val="00D50CED"/>
    <w:rsid w:val="00D52F4E"/>
    <w:rsid w:val="00D605B8"/>
    <w:rsid w:val="00D61CFC"/>
    <w:rsid w:val="00D63ADF"/>
    <w:rsid w:val="00D63E36"/>
    <w:rsid w:val="00D66D8B"/>
    <w:rsid w:val="00D67C6C"/>
    <w:rsid w:val="00D70734"/>
    <w:rsid w:val="00D707E9"/>
    <w:rsid w:val="00D70D17"/>
    <w:rsid w:val="00D70E7C"/>
    <w:rsid w:val="00D711C0"/>
    <w:rsid w:val="00D76479"/>
    <w:rsid w:val="00D7789F"/>
    <w:rsid w:val="00D77FEA"/>
    <w:rsid w:val="00D834B4"/>
    <w:rsid w:val="00D85533"/>
    <w:rsid w:val="00D85F9D"/>
    <w:rsid w:val="00D8655F"/>
    <w:rsid w:val="00D9182E"/>
    <w:rsid w:val="00D92244"/>
    <w:rsid w:val="00D935C1"/>
    <w:rsid w:val="00D939CB"/>
    <w:rsid w:val="00D957BA"/>
    <w:rsid w:val="00DA212E"/>
    <w:rsid w:val="00DA3B09"/>
    <w:rsid w:val="00DB3174"/>
    <w:rsid w:val="00DB54FE"/>
    <w:rsid w:val="00DB7EB9"/>
    <w:rsid w:val="00DC6F94"/>
    <w:rsid w:val="00DD4111"/>
    <w:rsid w:val="00DD4479"/>
    <w:rsid w:val="00DD481B"/>
    <w:rsid w:val="00DE1DB0"/>
    <w:rsid w:val="00DE63A7"/>
    <w:rsid w:val="00DE7F5B"/>
    <w:rsid w:val="00DF0558"/>
    <w:rsid w:val="00DF140A"/>
    <w:rsid w:val="00DF5F85"/>
    <w:rsid w:val="00E00894"/>
    <w:rsid w:val="00E00981"/>
    <w:rsid w:val="00E03838"/>
    <w:rsid w:val="00E173F1"/>
    <w:rsid w:val="00E21978"/>
    <w:rsid w:val="00E22507"/>
    <w:rsid w:val="00E27E33"/>
    <w:rsid w:val="00E27EDA"/>
    <w:rsid w:val="00E31E3D"/>
    <w:rsid w:val="00E33FD7"/>
    <w:rsid w:val="00E420CD"/>
    <w:rsid w:val="00E44B0A"/>
    <w:rsid w:val="00E477F7"/>
    <w:rsid w:val="00E501C2"/>
    <w:rsid w:val="00E52FE5"/>
    <w:rsid w:val="00E56087"/>
    <w:rsid w:val="00E565AF"/>
    <w:rsid w:val="00E608D8"/>
    <w:rsid w:val="00E60D10"/>
    <w:rsid w:val="00E61E53"/>
    <w:rsid w:val="00E62B7E"/>
    <w:rsid w:val="00E64727"/>
    <w:rsid w:val="00E745F3"/>
    <w:rsid w:val="00E75D0F"/>
    <w:rsid w:val="00E7624C"/>
    <w:rsid w:val="00E7639A"/>
    <w:rsid w:val="00E80EEB"/>
    <w:rsid w:val="00E8147E"/>
    <w:rsid w:val="00E837FA"/>
    <w:rsid w:val="00E8420C"/>
    <w:rsid w:val="00E90A3A"/>
    <w:rsid w:val="00E91256"/>
    <w:rsid w:val="00E9193A"/>
    <w:rsid w:val="00E926C4"/>
    <w:rsid w:val="00E951F5"/>
    <w:rsid w:val="00E9577E"/>
    <w:rsid w:val="00E97E82"/>
    <w:rsid w:val="00E97FE4"/>
    <w:rsid w:val="00EA120C"/>
    <w:rsid w:val="00EA4867"/>
    <w:rsid w:val="00EA4CE7"/>
    <w:rsid w:val="00EA52E8"/>
    <w:rsid w:val="00EA54B4"/>
    <w:rsid w:val="00EA5B9E"/>
    <w:rsid w:val="00EA6098"/>
    <w:rsid w:val="00EB1C79"/>
    <w:rsid w:val="00EB2912"/>
    <w:rsid w:val="00EB2A6E"/>
    <w:rsid w:val="00EB4617"/>
    <w:rsid w:val="00EB4E47"/>
    <w:rsid w:val="00EB52A0"/>
    <w:rsid w:val="00EB6CEA"/>
    <w:rsid w:val="00EC0E8C"/>
    <w:rsid w:val="00EC12D3"/>
    <w:rsid w:val="00EC3D58"/>
    <w:rsid w:val="00ED3728"/>
    <w:rsid w:val="00ED67F4"/>
    <w:rsid w:val="00EE1631"/>
    <w:rsid w:val="00EE2B0D"/>
    <w:rsid w:val="00EE672E"/>
    <w:rsid w:val="00EF42BC"/>
    <w:rsid w:val="00EF63DD"/>
    <w:rsid w:val="00F00D89"/>
    <w:rsid w:val="00F02736"/>
    <w:rsid w:val="00F05604"/>
    <w:rsid w:val="00F0589B"/>
    <w:rsid w:val="00F111DC"/>
    <w:rsid w:val="00F13216"/>
    <w:rsid w:val="00F16341"/>
    <w:rsid w:val="00F169FD"/>
    <w:rsid w:val="00F24D1A"/>
    <w:rsid w:val="00F24E30"/>
    <w:rsid w:val="00F26D0C"/>
    <w:rsid w:val="00F27E9D"/>
    <w:rsid w:val="00F32AFB"/>
    <w:rsid w:val="00F33474"/>
    <w:rsid w:val="00F3404E"/>
    <w:rsid w:val="00F36B42"/>
    <w:rsid w:val="00F37129"/>
    <w:rsid w:val="00F37BD0"/>
    <w:rsid w:val="00F445F9"/>
    <w:rsid w:val="00F44957"/>
    <w:rsid w:val="00F45EA1"/>
    <w:rsid w:val="00F479DD"/>
    <w:rsid w:val="00F51BD2"/>
    <w:rsid w:val="00F53034"/>
    <w:rsid w:val="00F55C6E"/>
    <w:rsid w:val="00F61017"/>
    <w:rsid w:val="00F62D54"/>
    <w:rsid w:val="00F63C1A"/>
    <w:rsid w:val="00F75FE2"/>
    <w:rsid w:val="00F76E63"/>
    <w:rsid w:val="00F82771"/>
    <w:rsid w:val="00F8474C"/>
    <w:rsid w:val="00F872A3"/>
    <w:rsid w:val="00F91BBC"/>
    <w:rsid w:val="00F93DFD"/>
    <w:rsid w:val="00FA0C29"/>
    <w:rsid w:val="00FA157D"/>
    <w:rsid w:val="00FA580F"/>
    <w:rsid w:val="00FB08E0"/>
    <w:rsid w:val="00FB1C2B"/>
    <w:rsid w:val="00FB480B"/>
    <w:rsid w:val="00FB53BF"/>
    <w:rsid w:val="00FB6409"/>
    <w:rsid w:val="00FB6BF5"/>
    <w:rsid w:val="00FC15E7"/>
    <w:rsid w:val="00FC2DAB"/>
    <w:rsid w:val="00FC396D"/>
    <w:rsid w:val="00FD32E8"/>
    <w:rsid w:val="00FD47FB"/>
    <w:rsid w:val="00FE15AA"/>
    <w:rsid w:val="00FE4E9F"/>
    <w:rsid w:val="00FE74AC"/>
    <w:rsid w:val="00FF3021"/>
    <w:rsid w:val="00FF6E4E"/>
    <w:rsid w:val="00FF717D"/>
    <w:rsid w:val="038C002B"/>
    <w:rsid w:val="057FAD96"/>
    <w:rsid w:val="0A2354A5"/>
    <w:rsid w:val="0C783D31"/>
    <w:rsid w:val="116EBD0B"/>
    <w:rsid w:val="12A16DD8"/>
    <w:rsid w:val="12D4C374"/>
    <w:rsid w:val="13FD92C9"/>
    <w:rsid w:val="14099B68"/>
    <w:rsid w:val="165F076A"/>
    <w:rsid w:val="187D0E7A"/>
    <w:rsid w:val="1E39531B"/>
    <w:rsid w:val="2093B3D5"/>
    <w:rsid w:val="22BDB0B3"/>
    <w:rsid w:val="25AF9525"/>
    <w:rsid w:val="2BD67300"/>
    <w:rsid w:val="2E7FA2AF"/>
    <w:rsid w:val="2EB28516"/>
    <w:rsid w:val="356F8E96"/>
    <w:rsid w:val="38C00E0D"/>
    <w:rsid w:val="3AE38910"/>
    <w:rsid w:val="3AF6D47F"/>
    <w:rsid w:val="3C57C614"/>
    <w:rsid w:val="430DF5FE"/>
    <w:rsid w:val="4EE12431"/>
    <w:rsid w:val="4F9A83F3"/>
    <w:rsid w:val="530F289E"/>
    <w:rsid w:val="54EF212F"/>
    <w:rsid w:val="5629C2E9"/>
    <w:rsid w:val="6516B7D8"/>
    <w:rsid w:val="6992C0AD"/>
    <w:rsid w:val="6C71AB53"/>
    <w:rsid w:val="78F7C26E"/>
    <w:rsid w:val="7A8EC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293CD"/>
  <w15:chartTrackingRefBased/>
  <w15:docId w15:val="{912E2AE0-3143-41A2-868F-EF05339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70"/>
    <w:pPr>
      <w:spacing w:after="240"/>
    </w:pPr>
    <w:rPr>
      <w:rFonts w:ascii="Arial" w:hAnsi="Arial" w:cs="Arial"/>
      <w:sz w:val="22"/>
      <w:szCs w:val="22"/>
      <w:lang w:eastAsia="en-US"/>
    </w:rPr>
  </w:style>
  <w:style w:type="paragraph" w:styleId="Heading1">
    <w:name w:val="heading 1"/>
    <w:basedOn w:val="BodyText"/>
    <w:next w:val="Normal"/>
    <w:qFormat/>
    <w:rsid w:val="00D711C0"/>
    <w:pPr>
      <w:keepNext/>
      <w:spacing w:before="240"/>
      <w:outlineLvl w:val="0"/>
    </w:pPr>
    <w:rPr>
      <w:rFonts w:eastAsia="Arial"/>
      <w:b/>
      <w:bCs/>
      <w:caps/>
    </w:rPr>
  </w:style>
  <w:style w:type="paragraph" w:styleId="Heading2">
    <w:name w:val="heading 2"/>
    <w:basedOn w:val="Normal"/>
    <w:next w:val="Normal"/>
    <w:link w:val="Heading2Char"/>
    <w:qFormat/>
    <w:rsid w:val="00A44F70"/>
    <w:pPr>
      <w:keepNext/>
      <w:spacing w:before="240"/>
      <w:outlineLvl w:val="1"/>
    </w:pPr>
    <w:rPr>
      <w:b/>
      <w:sz w:val="24"/>
      <w:szCs w:val="24"/>
    </w:rPr>
  </w:style>
  <w:style w:type="paragraph" w:styleId="Heading3">
    <w:name w:val="heading 3"/>
    <w:basedOn w:val="Normal"/>
    <w:next w:val="Normal"/>
    <w:link w:val="Heading3Char"/>
    <w:uiPriority w:val="9"/>
    <w:unhideWhenUsed/>
    <w:qFormat/>
    <w:rsid w:val="00976B21"/>
    <w:pPr>
      <w:keepNext/>
      <w:keepLines/>
      <w:outlineLvl w:val="2"/>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763E2"/>
    <w:pPr>
      <w:widowControl w:val="0"/>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0763E2"/>
    <w:pPr>
      <w:spacing w:line="263" w:lineRule="atLeast"/>
    </w:pPr>
    <w:rPr>
      <w:color w:val="auto"/>
    </w:rPr>
  </w:style>
  <w:style w:type="paragraph" w:customStyle="1" w:styleId="CM16">
    <w:name w:val="CM16"/>
    <w:basedOn w:val="Default"/>
    <w:next w:val="Default"/>
    <w:uiPriority w:val="99"/>
    <w:rsid w:val="000763E2"/>
    <w:pPr>
      <w:spacing w:after="233"/>
    </w:pPr>
    <w:rPr>
      <w:color w:val="auto"/>
    </w:rPr>
  </w:style>
  <w:style w:type="paragraph" w:customStyle="1" w:styleId="CM2">
    <w:name w:val="CM2"/>
    <w:basedOn w:val="Default"/>
    <w:next w:val="Default"/>
    <w:uiPriority w:val="99"/>
    <w:rsid w:val="000763E2"/>
    <w:pPr>
      <w:spacing w:line="263" w:lineRule="atLeast"/>
    </w:pPr>
    <w:rPr>
      <w:color w:val="auto"/>
    </w:rPr>
  </w:style>
  <w:style w:type="paragraph" w:customStyle="1" w:styleId="CM17">
    <w:name w:val="CM17"/>
    <w:basedOn w:val="Default"/>
    <w:next w:val="Default"/>
    <w:uiPriority w:val="99"/>
    <w:rsid w:val="000763E2"/>
    <w:pPr>
      <w:spacing w:after="470"/>
    </w:pPr>
    <w:rPr>
      <w:color w:val="auto"/>
    </w:rPr>
  </w:style>
  <w:style w:type="paragraph" w:customStyle="1" w:styleId="CM3">
    <w:name w:val="CM3"/>
    <w:basedOn w:val="Default"/>
    <w:next w:val="Default"/>
    <w:uiPriority w:val="99"/>
    <w:rsid w:val="000763E2"/>
    <w:pPr>
      <w:spacing w:line="258" w:lineRule="atLeast"/>
    </w:pPr>
    <w:rPr>
      <w:color w:val="auto"/>
    </w:rPr>
  </w:style>
  <w:style w:type="paragraph" w:customStyle="1" w:styleId="CM4">
    <w:name w:val="CM4"/>
    <w:basedOn w:val="Default"/>
    <w:next w:val="Default"/>
    <w:uiPriority w:val="99"/>
    <w:rsid w:val="000763E2"/>
    <w:pPr>
      <w:spacing w:line="256" w:lineRule="atLeast"/>
    </w:pPr>
    <w:rPr>
      <w:color w:val="auto"/>
    </w:rPr>
  </w:style>
  <w:style w:type="paragraph" w:customStyle="1" w:styleId="CM5">
    <w:name w:val="CM5"/>
    <w:basedOn w:val="Default"/>
    <w:next w:val="Default"/>
    <w:uiPriority w:val="99"/>
    <w:rsid w:val="000763E2"/>
    <w:rPr>
      <w:color w:val="auto"/>
    </w:rPr>
  </w:style>
  <w:style w:type="paragraph" w:customStyle="1" w:styleId="CM6">
    <w:name w:val="CM6"/>
    <w:basedOn w:val="Default"/>
    <w:next w:val="Default"/>
    <w:uiPriority w:val="99"/>
    <w:rsid w:val="000763E2"/>
    <w:pPr>
      <w:spacing w:line="260" w:lineRule="atLeast"/>
    </w:pPr>
    <w:rPr>
      <w:color w:val="auto"/>
    </w:rPr>
  </w:style>
  <w:style w:type="paragraph" w:customStyle="1" w:styleId="CM18">
    <w:name w:val="CM18"/>
    <w:basedOn w:val="Default"/>
    <w:next w:val="Default"/>
    <w:uiPriority w:val="99"/>
    <w:rsid w:val="000763E2"/>
    <w:pPr>
      <w:spacing w:after="58"/>
    </w:pPr>
    <w:rPr>
      <w:color w:val="auto"/>
    </w:rPr>
  </w:style>
  <w:style w:type="paragraph" w:customStyle="1" w:styleId="CM7">
    <w:name w:val="CM7"/>
    <w:basedOn w:val="Default"/>
    <w:next w:val="Default"/>
    <w:uiPriority w:val="99"/>
    <w:rsid w:val="000763E2"/>
    <w:rPr>
      <w:color w:val="auto"/>
    </w:rPr>
  </w:style>
  <w:style w:type="paragraph" w:customStyle="1" w:styleId="CM19">
    <w:name w:val="CM19"/>
    <w:basedOn w:val="Default"/>
    <w:next w:val="Default"/>
    <w:uiPriority w:val="99"/>
    <w:rsid w:val="000763E2"/>
    <w:pPr>
      <w:spacing w:after="305"/>
    </w:pPr>
    <w:rPr>
      <w:color w:val="auto"/>
    </w:rPr>
  </w:style>
  <w:style w:type="paragraph" w:customStyle="1" w:styleId="CM8">
    <w:name w:val="CM8"/>
    <w:basedOn w:val="Default"/>
    <w:next w:val="Default"/>
    <w:uiPriority w:val="99"/>
    <w:rsid w:val="000763E2"/>
    <w:pPr>
      <w:spacing w:line="256" w:lineRule="atLeast"/>
    </w:pPr>
    <w:rPr>
      <w:color w:val="auto"/>
    </w:rPr>
  </w:style>
  <w:style w:type="paragraph" w:customStyle="1" w:styleId="CM10">
    <w:name w:val="CM10"/>
    <w:basedOn w:val="Default"/>
    <w:next w:val="Default"/>
    <w:uiPriority w:val="99"/>
    <w:rsid w:val="000763E2"/>
    <w:rPr>
      <w:color w:val="auto"/>
    </w:rPr>
  </w:style>
  <w:style w:type="paragraph" w:customStyle="1" w:styleId="CM20">
    <w:name w:val="CM20"/>
    <w:basedOn w:val="Default"/>
    <w:next w:val="Default"/>
    <w:uiPriority w:val="99"/>
    <w:rsid w:val="000763E2"/>
    <w:pPr>
      <w:spacing w:after="55"/>
    </w:pPr>
    <w:rPr>
      <w:color w:val="auto"/>
    </w:rPr>
  </w:style>
  <w:style w:type="paragraph" w:customStyle="1" w:styleId="CM13">
    <w:name w:val="CM13"/>
    <w:basedOn w:val="Default"/>
    <w:next w:val="Default"/>
    <w:uiPriority w:val="99"/>
    <w:rsid w:val="000763E2"/>
    <w:pPr>
      <w:spacing w:line="278" w:lineRule="atLeast"/>
    </w:pPr>
    <w:rPr>
      <w:color w:val="auto"/>
    </w:rPr>
  </w:style>
  <w:style w:type="paragraph" w:customStyle="1" w:styleId="CM14">
    <w:name w:val="CM14"/>
    <w:basedOn w:val="Default"/>
    <w:next w:val="Default"/>
    <w:uiPriority w:val="99"/>
    <w:rsid w:val="000763E2"/>
    <w:pPr>
      <w:spacing w:line="286" w:lineRule="atLeast"/>
    </w:pPr>
    <w:rPr>
      <w:color w:val="auto"/>
    </w:rPr>
  </w:style>
  <w:style w:type="paragraph" w:customStyle="1" w:styleId="CM21">
    <w:name w:val="CM21"/>
    <w:basedOn w:val="Default"/>
    <w:next w:val="Default"/>
    <w:uiPriority w:val="99"/>
    <w:rsid w:val="000763E2"/>
    <w:pPr>
      <w:spacing w:after="378"/>
    </w:pPr>
    <w:rPr>
      <w:color w:val="auto"/>
    </w:rPr>
  </w:style>
  <w:style w:type="paragraph" w:customStyle="1" w:styleId="CM22">
    <w:name w:val="CM22"/>
    <w:basedOn w:val="Default"/>
    <w:next w:val="Default"/>
    <w:uiPriority w:val="99"/>
    <w:rsid w:val="000763E2"/>
    <w:pPr>
      <w:spacing w:after="540"/>
    </w:pPr>
    <w:rPr>
      <w:color w:val="auto"/>
    </w:rPr>
  </w:style>
  <w:style w:type="paragraph" w:styleId="Header">
    <w:name w:val="header"/>
    <w:basedOn w:val="Normal"/>
    <w:link w:val="HeaderChar"/>
    <w:uiPriority w:val="99"/>
    <w:unhideWhenUsed/>
    <w:rsid w:val="00F51189"/>
    <w:pPr>
      <w:tabs>
        <w:tab w:val="center" w:pos="4680"/>
        <w:tab w:val="right" w:pos="9360"/>
      </w:tabs>
    </w:pPr>
  </w:style>
  <w:style w:type="character" w:customStyle="1" w:styleId="HeaderChar">
    <w:name w:val="Header Char"/>
    <w:link w:val="Header"/>
    <w:uiPriority w:val="99"/>
    <w:rsid w:val="00F51189"/>
    <w:rPr>
      <w:rFonts w:ascii="Arial" w:hAnsi="Arial" w:cs="Arial"/>
    </w:rPr>
  </w:style>
  <w:style w:type="paragraph" w:styleId="Footer">
    <w:name w:val="footer"/>
    <w:basedOn w:val="Normal"/>
    <w:link w:val="FooterChar"/>
    <w:uiPriority w:val="99"/>
    <w:unhideWhenUsed/>
    <w:rsid w:val="00F51189"/>
    <w:pPr>
      <w:tabs>
        <w:tab w:val="center" w:pos="4680"/>
        <w:tab w:val="right" w:pos="9360"/>
      </w:tabs>
    </w:pPr>
  </w:style>
  <w:style w:type="character" w:customStyle="1" w:styleId="FooterChar">
    <w:name w:val="Footer Char"/>
    <w:link w:val="Footer"/>
    <w:uiPriority w:val="99"/>
    <w:rsid w:val="00F51189"/>
    <w:rPr>
      <w:rFonts w:ascii="Arial" w:hAnsi="Arial" w:cs="Arial"/>
    </w:rPr>
  </w:style>
  <w:style w:type="character" w:styleId="PageNumber">
    <w:name w:val="page number"/>
    <w:basedOn w:val="DefaultParagraphFont"/>
    <w:rsid w:val="00246251"/>
  </w:style>
  <w:style w:type="paragraph" w:styleId="BodyText">
    <w:name w:val="Body Text"/>
    <w:basedOn w:val="Normal"/>
    <w:link w:val="BodyTextChar"/>
    <w:rsid w:val="00A44F70"/>
    <w:rPr>
      <w:sz w:val="24"/>
      <w:szCs w:val="24"/>
    </w:rPr>
  </w:style>
  <w:style w:type="paragraph" w:styleId="TOC1">
    <w:name w:val="toc 1"/>
    <w:basedOn w:val="Normal"/>
    <w:next w:val="Normal"/>
    <w:autoRedefine/>
    <w:uiPriority w:val="39"/>
    <w:rsid w:val="00A76B62"/>
    <w:pPr>
      <w:tabs>
        <w:tab w:val="right" w:leader="dot" w:pos="9170"/>
      </w:tabs>
      <w:spacing w:before="240" w:after="120"/>
    </w:pPr>
    <w:rPr>
      <w:rFonts w:eastAsia="Arial"/>
      <w:b/>
      <w:bCs/>
      <w:noProof/>
    </w:rPr>
  </w:style>
  <w:style w:type="paragraph" w:styleId="TOC2">
    <w:name w:val="toc 2"/>
    <w:basedOn w:val="Normal"/>
    <w:next w:val="Normal"/>
    <w:autoRedefine/>
    <w:uiPriority w:val="39"/>
    <w:rsid w:val="00A44F70"/>
    <w:pPr>
      <w:tabs>
        <w:tab w:val="right" w:leader="dot" w:pos="9170"/>
      </w:tabs>
      <w:spacing w:before="120" w:after="0"/>
      <w:ind w:left="630" w:hanging="390"/>
    </w:pPr>
    <w:rPr>
      <w:iCs/>
      <w:noProof/>
    </w:rPr>
  </w:style>
  <w:style w:type="paragraph" w:styleId="TOC3">
    <w:name w:val="toc 3"/>
    <w:basedOn w:val="Normal"/>
    <w:next w:val="Normal"/>
    <w:autoRedefine/>
    <w:uiPriority w:val="39"/>
    <w:rsid w:val="00A44F70"/>
    <w:pPr>
      <w:tabs>
        <w:tab w:val="right" w:leader="dot" w:pos="9530"/>
      </w:tabs>
      <w:spacing w:after="0"/>
      <w:ind w:left="480"/>
    </w:pPr>
    <w:rPr>
      <w:iCs/>
      <w:noProof/>
    </w:rPr>
  </w:style>
  <w:style w:type="character" w:styleId="Hyperlink">
    <w:name w:val="Hyperlink"/>
    <w:uiPriority w:val="99"/>
    <w:rsid w:val="00246251"/>
    <w:rPr>
      <w:color w:val="0000FF"/>
      <w:u w:val="single"/>
    </w:rPr>
  </w:style>
  <w:style w:type="paragraph" w:styleId="BalloonText">
    <w:name w:val="Balloon Text"/>
    <w:basedOn w:val="Normal"/>
    <w:semiHidden/>
    <w:rsid w:val="00B32217"/>
    <w:rPr>
      <w:rFonts w:ascii="Tahoma" w:hAnsi="Tahoma" w:cs="Tahoma"/>
      <w:sz w:val="16"/>
      <w:szCs w:val="16"/>
    </w:rPr>
  </w:style>
  <w:style w:type="character" w:styleId="CommentReference">
    <w:name w:val="annotation reference"/>
    <w:semiHidden/>
    <w:rsid w:val="00B272F3"/>
    <w:rPr>
      <w:sz w:val="16"/>
      <w:szCs w:val="16"/>
    </w:rPr>
  </w:style>
  <w:style w:type="paragraph" w:styleId="CommentText">
    <w:name w:val="annotation text"/>
    <w:basedOn w:val="Normal"/>
    <w:semiHidden/>
    <w:rsid w:val="00B272F3"/>
    <w:rPr>
      <w:sz w:val="20"/>
      <w:szCs w:val="20"/>
    </w:rPr>
  </w:style>
  <w:style w:type="paragraph" w:styleId="CommentSubject">
    <w:name w:val="annotation subject"/>
    <w:basedOn w:val="CommentText"/>
    <w:next w:val="CommentText"/>
    <w:semiHidden/>
    <w:rsid w:val="00B272F3"/>
    <w:rPr>
      <w:b/>
      <w:bCs/>
    </w:rPr>
  </w:style>
  <w:style w:type="paragraph" w:customStyle="1" w:styleId="Style1">
    <w:name w:val="Style1"/>
    <w:basedOn w:val="Normal"/>
    <w:rsid w:val="008B585B"/>
    <w:pPr>
      <w:numPr>
        <w:numId w:val="6"/>
      </w:numPr>
    </w:pPr>
    <w:rPr>
      <w:rFonts w:ascii="Times New Roman" w:hAnsi="Times New Roman" w:cs="Times New Roman"/>
      <w:sz w:val="24"/>
      <w:szCs w:val="24"/>
    </w:rPr>
  </w:style>
  <w:style w:type="character" w:customStyle="1" w:styleId="Heading2Char">
    <w:name w:val="Heading 2 Char"/>
    <w:link w:val="Heading2"/>
    <w:rsid w:val="00A44F70"/>
    <w:rPr>
      <w:rFonts w:ascii="Arial" w:hAnsi="Arial" w:cs="Arial"/>
      <w:b/>
      <w:sz w:val="24"/>
      <w:szCs w:val="24"/>
      <w:lang w:eastAsia="en-US"/>
    </w:rPr>
  </w:style>
  <w:style w:type="paragraph" w:customStyle="1" w:styleId="DefaultChar">
    <w:name w:val="Default Char"/>
    <w:link w:val="DefaultCharChar"/>
    <w:rsid w:val="001103E1"/>
    <w:pPr>
      <w:autoSpaceDE w:val="0"/>
      <w:autoSpaceDN w:val="0"/>
      <w:adjustRightInd w:val="0"/>
    </w:pPr>
    <w:rPr>
      <w:rFonts w:ascii="Arial" w:hAnsi="Arial" w:cs="Arial"/>
      <w:color w:val="000000"/>
      <w:sz w:val="24"/>
      <w:szCs w:val="24"/>
      <w:lang w:eastAsia="en-US"/>
    </w:rPr>
  </w:style>
  <w:style w:type="character" w:customStyle="1" w:styleId="DefaultCharChar">
    <w:name w:val="Default Char Char"/>
    <w:link w:val="DefaultChar"/>
    <w:rsid w:val="001103E1"/>
    <w:rPr>
      <w:rFonts w:ascii="Arial" w:hAnsi="Arial" w:cs="Arial"/>
      <w:color w:val="000000"/>
      <w:sz w:val="24"/>
      <w:szCs w:val="24"/>
      <w:lang w:val="en-US" w:eastAsia="en-US" w:bidi="ar-SA"/>
    </w:rPr>
  </w:style>
  <w:style w:type="paragraph" w:styleId="EndnoteText">
    <w:name w:val="endnote text"/>
    <w:basedOn w:val="Normal"/>
    <w:semiHidden/>
    <w:rsid w:val="00B61480"/>
    <w:rPr>
      <w:rFonts w:ascii="Courier" w:hAnsi="Courier" w:cs="Times New Roman"/>
      <w:sz w:val="24"/>
      <w:szCs w:val="20"/>
    </w:rPr>
  </w:style>
  <w:style w:type="paragraph" w:styleId="PlainText">
    <w:name w:val="Plain Text"/>
    <w:basedOn w:val="Normal"/>
    <w:rsid w:val="0030731E"/>
    <w:rPr>
      <w:rFonts w:ascii="Courier New" w:hAnsi="Courier New" w:cs="Courier New"/>
      <w:sz w:val="20"/>
      <w:szCs w:val="20"/>
    </w:rPr>
  </w:style>
  <w:style w:type="paragraph" w:styleId="NormalWeb">
    <w:name w:val="Normal (Web)"/>
    <w:basedOn w:val="Normal"/>
    <w:uiPriority w:val="99"/>
    <w:semiHidden/>
    <w:unhideWhenUsed/>
    <w:rsid w:val="008566D1"/>
    <w:pPr>
      <w:spacing w:before="100" w:beforeAutospacing="1" w:after="100" w:afterAutospacing="1"/>
    </w:pPr>
    <w:rPr>
      <w:sz w:val="27"/>
      <w:szCs w:val="27"/>
    </w:rPr>
  </w:style>
  <w:style w:type="paragraph" w:customStyle="1" w:styleId="ColorfulShading-Accent11">
    <w:name w:val="Colorful Shading - Accent 11"/>
    <w:hidden/>
    <w:uiPriority w:val="99"/>
    <w:semiHidden/>
    <w:rsid w:val="007F70E3"/>
    <w:rPr>
      <w:rFonts w:ascii="Arial" w:hAnsi="Arial" w:cs="Arial"/>
      <w:sz w:val="22"/>
      <w:szCs w:val="22"/>
      <w:lang w:eastAsia="en-US"/>
    </w:rPr>
  </w:style>
  <w:style w:type="character" w:styleId="FollowedHyperlink">
    <w:name w:val="FollowedHyperlink"/>
    <w:uiPriority w:val="99"/>
    <w:semiHidden/>
    <w:unhideWhenUsed/>
    <w:rsid w:val="00681301"/>
    <w:rPr>
      <w:color w:val="800080"/>
      <w:u w:val="single"/>
    </w:rPr>
  </w:style>
  <w:style w:type="paragraph" w:styleId="Revision">
    <w:name w:val="Revision"/>
    <w:hidden/>
    <w:uiPriority w:val="99"/>
    <w:semiHidden/>
    <w:rsid w:val="00EA5B9E"/>
    <w:rPr>
      <w:rFonts w:ascii="Arial" w:hAnsi="Arial" w:cs="Arial"/>
      <w:sz w:val="22"/>
      <w:szCs w:val="22"/>
      <w:lang w:eastAsia="en-US"/>
    </w:rPr>
  </w:style>
  <w:style w:type="paragraph" w:styleId="ListParagraph">
    <w:name w:val="List Paragraph"/>
    <w:basedOn w:val="Normal"/>
    <w:uiPriority w:val="34"/>
    <w:qFormat/>
    <w:rsid w:val="00976B21"/>
    <w:pPr>
      <w:numPr>
        <w:numId w:val="26"/>
      </w:numPr>
      <w:contextualSpacing/>
    </w:pPr>
    <w:rPr>
      <w:sz w:val="24"/>
      <w:szCs w:val="24"/>
    </w:rPr>
  </w:style>
  <w:style w:type="paragraph" w:customStyle="1" w:styleId="CROMSInstruction">
    <w:name w:val="CROMS_Instruction"/>
    <w:basedOn w:val="Normal"/>
    <w:uiPriority w:val="17"/>
    <w:qFormat/>
    <w:rsid w:val="001B395D"/>
    <w:pPr>
      <w:spacing w:before="60" w:after="120" w:line="360" w:lineRule="auto"/>
    </w:pPr>
    <w:rPr>
      <w:rFonts w:eastAsia="Calibri" w:cs="Times New Roman"/>
      <w:i/>
      <w:color w:val="1F497D"/>
    </w:rPr>
  </w:style>
  <w:style w:type="character" w:customStyle="1" w:styleId="ItalicBlue">
    <w:name w:val="ItalicBlue"/>
    <w:uiPriority w:val="1"/>
    <w:qFormat/>
    <w:rsid w:val="001B395D"/>
    <w:rPr>
      <w:b w:val="0"/>
      <w:bCs w:val="0"/>
      <w:i w:val="0"/>
      <w:iCs w:val="0"/>
      <w:color w:val="1F497D"/>
    </w:rPr>
  </w:style>
  <w:style w:type="paragraph" w:styleId="FootnoteText">
    <w:name w:val="footnote text"/>
    <w:basedOn w:val="Normal"/>
    <w:link w:val="FootnoteTextChar"/>
    <w:uiPriority w:val="99"/>
    <w:semiHidden/>
    <w:unhideWhenUsed/>
    <w:rsid w:val="00CC55F3"/>
    <w:rPr>
      <w:sz w:val="20"/>
      <w:szCs w:val="20"/>
    </w:rPr>
  </w:style>
  <w:style w:type="character" w:customStyle="1" w:styleId="FootnoteTextChar">
    <w:name w:val="Footnote Text Char"/>
    <w:link w:val="FootnoteText"/>
    <w:uiPriority w:val="99"/>
    <w:semiHidden/>
    <w:rsid w:val="00CC55F3"/>
    <w:rPr>
      <w:rFonts w:ascii="Arial" w:hAnsi="Arial" w:cs="Arial"/>
    </w:rPr>
  </w:style>
  <w:style w:type="character" w:styleId="FootnoteReference">
    <w:name w:val="footnote reference"/>
    <w:uiPriority w:val="99"/>
    <w:semiHidden/>
    <w:unhideWhenUsed/>
    <w:rsid w:val="00CC55F3"/>
    <w:rPr>
      <w:vertAlign w:val="superscript"/>
    </w:rPr>
  </w:style>
  <w:style w:type="character" w:customStyle="1" w:styleId="UnresolvedMention1">
    <w:name w:val="Unresolved Mention1"/>
    <w:basedOn w:val="DefaultParagraphFont"/>
    <w:uiPriority w:val="99"/>
    <w:semiHidden/>
    <w:unhideWhenUsed/>
    <w:rsid w:val="00037CCF"/>
    <w:rPr>
      <w:color w:val="605E5C"/>
      <w:shd w:val="clear" w:color="auto" w:fill="E1DFDD"/>
    </w:rPr>
  </w:style>
  <w:style w:type="paragraph" w:customStyle="1" w:styleId="paragraph">
    <w:name w:val="paragraph"/>
    <w:basedOn w:val="Normal"/>
    <w:rsid w:val="0054202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4202E"/>
  </w:style>
  <w:style w:type="character" w:customStyle="1" w:styleId="eop">
    <w:name w:val="eop"/>
    <w:basedOn w:val="DefaultParagraphFont"/>
    <w:rsid w:val="0054202E"/>
  </w:style>
  <w:style w:type="character" w:customStyle="1" w:styleId="Heading3Char">
    <w:name w:val="Heading 3 Char"/>
    <w:basedOn w:val="DefaultParagraphFont"/>
    <w:link w:val="Heading3"/>
    <w:uiPriority w:val="9"/>
    <w:rsid w:val="00976B21"/>
    <w:rPr>
      <w:rFonts w:ascii="Arial" w:eastAsiaTheme="majorEastAsia" w:hAnsi="Arial" w:cs="Arial"/>
      <w:b/>
      <w:bCs/>
      <w:sz w:val="24"/>
      <w:szCs w:val="24"/>
      <w:lang w:eastAsia="en-US"/>
    </w:rPr>
  </w:style>
  <w:style w:type="paragraph" w:customStyle="1" w:styleId="CROMSText">
    <w:name w:val="CROMS_Text"/>
    <w:basedOn w:val="BodyText"/>
    <w:uiPriority w:val="9"/>
    <w:qFormat/>
    <w:rsid w:val="007C7273"/>
    <w:pPr>
      <w:spacing w:before="120"/>
    </w:pPr>
    <w:rPr>
      <w:rFonts w:eastAsia="Calibri" w:cs="Times New Roman"/>
    </w:rPr>
  </w:style>
  <w:style w:type="paragraph" w:customStyle="1" w:styleId="BodyText21">
    <w:name w:val="Body Text 21"/>
    <w:basedOn w:val="Normal"/>
    <w:rsid w:val="007C7273"/>
    <w:pPr>
      <w:overflowPunct w:val="0"/>
      <w:autoSpaceDE w:val="0"/>
      <w:autoSpaceDN w:val="0"/>
      <w:adjustRightInd w:val="0"/>
      <w:ind w:right="-18"/>
      <w:textAlignment w:val="baseline"/>
    </w:pPr>
    <w:rPr>
      <w:rFonts w:ascii="Times" w:hAnsi="Times" w:cs="Times New Roman"/>
      <w:sz w:val="24"/>
      <w:szCs w:val="20"/>
    </w:rPr>
  </w:style>
  <w:style w:type="character" w:customStyle="1" w:styleId="BodyTextChar">
    <w:name w:val="Body Text Char"/>
    <w:basedOn w:val="DefaultParagraphFont"/>
    <w:link w:val="BodyText"/>
    <w:rsid w:val="00A44F70"/>
    <w:rPr>
      <w:rFonts w:ascii="Arial" w:hAnsi="Arial" w:cs="Arial"/>
      <w:sz w:val="24"/>
      <w:szCs w:val="24"/>
      <w:lang w:eastAsia="en-US"/>
    </w:rPr>
  </w:style>
  <w:style w:type="character" w:customStyle="1" w:styleId="UnresolvedMention2">
    <w:name w:val="Unresolved Mention2"/>
    <w:basedOn w:val="DefaultParagraphFont"/>
    <w:uiPriority w:val="99"/>
    <w:semiHidden/>
    <w:unhideWhenUsed/>
    <w:rsid w:val="00B52A56"/>
    <w:rPr>
      <w:color w:val="605E5C"/>
      <w:shd w:val="clear" w:color="auto" w:fill="E1DFDD"/>
    </w:rPr>
  </w:style>
  <w:style w:type="paragraph" w:styleId="TOCHeading">
    <w:name w:val="TOC Heading"/>
    <w:basedOn w:val="Heading1"/>
    <w:next w:val="Normal"/>
    <w:uiPriority w:val="39"/>
    <w:unhideWhenUsed/>
    <w:qFormat/>
    <w:rsid w:val="00252CE2"/>
    <w:pPr>
      <w:keepLines/>
      <w:spacing w:after="0" w:line="259" w:lineRule="auto"/>
      <w:outlineLvl w:val="9"/>
    </w:pPr>
    <w:rPr>
      <w:rFonts w:asciiTheme="majorHAnsi" w:eastAsiaTheme="majorEastAsia" w:hAnsiTheme="majorHAnsi" w:cstheme="majorBidi"/>
      <w:b w:val="0"/>
      <w:bCs w:val="0"/>
      <w:color w:val="2F5496" w:themeColor="accent1" w:themeShade="BF"/>
      <w:sz w:val="32"/>
    </w:rPr>
  </w:style>
  <w:style w:type="character" w:customStyle="1" w:styleId="UnresolvedMention3">
    <w:name w:val="Unresolved Mention3"/>
    <w:basedOn w:val="DefaultParagraphFont"/>
    <w:uiPriority w:val="99"/>
    <w:semiHidden/>
    <w:unhideWhenUsed/>
    <w:rsid w:val="006B151E"/>
    <w:rPr>
      <w:color w:val="605E5C"/>
      <w:shd w:val="clear" w:color="auto" w:fill="E1DFDD"/>
    </w:rPr>
  </w:style>
  <w:style w:type="character" w:styleId="UnresolvedMention">
    <w:name w:val="Unresolved Mention"/>
    <w:basedOn w:val="DefaultParagraphFont"/>
    <w:uiPriority w:val="99"/>
    <w:semiHidden/>
    <w:unhideWhenUsed/>
    <w:rsid w:val="008662E3"/>
    <w:rPr>
      <w:color w:val="605E5C"/>
      <w:shd w:val="clear" w:color="auto" w:fill="E1DFDD"/>
    </w:rPr>
  </w:style>
  <w:style w:type="paragraph" w:customStyle="1" w:styleId="BodyTextSample">
    <w:name w:val="Body Text Sample"/>
    <w:basedOn w:val="BodyText21"/>
    <w:qFormat/>
    <w:rsid w:val="00976B21"/>
    <w:rPr>
      <w:rFonts w:ascii="Arial" w:hAnsi="Arial" w:cs="Arial"/>
      <w:b/>
      <w:i/>
      <w:color w:val="4472C4" w:themeColor="accent1"/>
      <w:szCs w:val="24"/>
    </w:rPr>
  </w:style>
  <w:style w:type="paragraph" w:customStyle="1" w:styleId="BodyTextblue">
    <w:name w:val="Body Text blue"/>
    <w:basedOn w:val="Normal"/>
    <w:qFormat/>
    <w:rsid w:val="00976B21"/>
    <w:rPr>
      <w:i/>
      <w:iCs/>
      <w:color w:val="4472C4" w:themeColor="accent1"/>
      <w:sz w:val="24"/>
      <w:szCs w:val="24"/>
    </w:rPr>
  </w:style>
  <w:style w:type="paragraph" w:customStyle="1" w:styleId="List1">
    <w:name w:val="List 1"/>
    <w:basedOn w:val="BodyText"/>
    <w:qFormat/>
    <w:rsid w:val="00976B21"/>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33122">
      <w:bodyDiv w:val="1"/>
      <w:marLeft w:val="0"/>
      <w:marRight w:val="0"/>
      <w:marTop w:val="0"/>
      <w:marBottom w:val="0"/>
      <w:divBdr>
        <w:top w:val="none" w:sz="0" w:space="0" w:color="auto"/>
        <w:left w:val="none" w:sz="0" w:space="0" w:color="auto"/>
        <w:bottom w:val="none" w:sz="0" w:space="0" w:color="auto"/>
        <w:right w:val="none" w:sz="0" w:space="0" w:color="auto"/>
      </w:divBdr>
    </w:div>
    <w:div w:id="584650494">
      <w:bodyDiv w:val="1"/>
      <w:marLeft w:val="0"/>
      <w:marRight w:val="0"/>
      <w:marTop w:val="0"/>
      <w:marBottom w:val="0"/>
      <w:divBdr>
        <w:top w:val="none" w:sz="0" w:space="0" w:color="auto"/>
        <w:left w:val="none" w:sz="0" w:space="0" w:color="auto"/>
        <w:bottom w:val="none" w:sz="0" w:space="0" w:color="auto"/>
        <w:right w:val="none" w:sz="0" w:space="0" w:color="auto"/>
      </w:divBdr>
    </w:div>
    <w:div w:id="750539101">
      <w:bodyDiv w:val="1"/>
      <w:marLeft w:val="0"/>
      <w:marRight w:val="0"/>
      <w:marTop w:val="0"/>
      <w:marBottom w:val="0"/>
      <w:divBdr>
        <w:top w:val="none" w:sz="0" w:space="0" w:color="auto"/>
        <w:left w:val="none" w:sz="0" w:space="0" w:color="auto"/>
        <w:bottom w:val="none" w:sz="0" w:space="0" w:color="auto"/>
        <w:right w:val="none" w:sz="0" w:space="0" w:color="auto"/>
      </w:divBdr>
      <w:divsChild>
        <w:div w:id="276108247">
          <w:marLeft w:val="0"/>
          <w:marRight w:val="0"/>
          <w:marTop w:val="0"/>
          <w:marBottom w:val="0"/>
          <w:divBdr>
            <w:top w:val="none" w:sz="0" w:space="0" w:color="auto"/>
            <w:left w:val="none" w:sz="0" w:space="0" w:color="auto"/>
            <w:bottom w:val="none" w:sz="0" w:space="0" w:color="auto"/>
            <w:right w:val="none" w:sz="0" w:space="0" w:color="auto"/>
          </w:divBdr>
        </w:div>
        <w:div w:id="903368387">
          <w:marLeft w:val="0"/>
          <w:marRight w:val="0"/>
          <w:marTop w:val="0"/>
          <w:marBottom w:val="0"/>
          <w:divBdr>
            <w:top w:val="none" w:sz="0" w:space="0" w:color="auto"/>
            <w:left w:val="none" w:sz="0" w:space="0" w:color="auto"/>
            <w:bottom w:val="none" w:sz="0" w:space="0" w:color="auto"/>
            <w:right w:val="none" w:sz="0" w:space="0" w:color="auto"/>
          </w:divBdr>
        </w:div>
        <w:div w:id="1444424007">
          <w:marLeft w:val="0"/>
          <w:marRight w:val="0"/>
          <w:marTop w:val="0"/>
          <w:marBottom w:val="0"/>
          <w:divBdr>
            <w:top w:val="none" w:sz="0" w:space="0" w:color="auto"/>
            <w:left w:val="none" w:sz="0" w:space="0" w:color="auto"/>
            <w:bottom w:val="none" w:sz="0" w:space="0" w:color="auto"/>
            <w:right w:val="none" w:sz="0" w:space="0" w:color="auto"/>
          </w:divBdr>
        </w:div>
      </w:divsChild>
    </w:div>
    <w:div w:id="937836750">
      <w:bodyDiv w:val="1"/>
      <w:marLeft w:val="0"/>
      <w:marRight w:val="0"/>
      <w:marTop w:val="0"/>
      <w:marBottom w:val="0"/>
      <w:divBdr>
        <w:top w:val="none" w:sz="0" w:space="0" w:color="auto"/>
        <w:left w:val="none" w:sz="0" w:space="0" w:color="auto"/>
        <w:bottom w:val="none" w:sz="0" w:space="0" w:color="auto"/>
        <w:right w:val="none" w:sz="0" w:space="0" w:color="auto"/>
      </w:divBdr>
    </w:div>
    <w:div w:id="10986027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780926">
          <w:marLeft w:val="0"/>
          <w:marRight w:val="0"/>
          <w:marTop w:val="0"/>
          <w:marBottom w:val="0"/>
          <w:divBdr>
            <w:top w:val="single" w:sz="6" w:space="0" w:color="999999"/>
            <w:left w:val="single" w:sz="6" w:space="0" w:color="999999"/>
            <w:bottom w:val="single" w:sz="6" w:space="0" w:color="999999"/>
            <w:right w:val="single" w:sz="6" w:space="0" w:color="999999"/>
          </w:divBdr>
          <w:divsChild>
            <w:div w:id="469982702">
              <w:marLeft w:val="0"/>
              <w:marRight w:val="0"/>
              <w:marTop w:val="0"/>
              <w:marBottom w:val="0"/>
              <w:divBdr>
                <w:top w:val="none" w:sz="0" w:space="0" w:color="auto"/>
                <w:left w:val="none" w:sz="0" w:space="0" w:color="auto"/>
                <w:bottom w:val="none" w:sz="0" w:space="0" w:color="auto"/>
                <w:right w:val="none" w:sz="0" w:space="0" w:color="auto"/>
              </w:divBdr>
              <w:divsChild>
                <w:div w:id="13672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0318018">
      <w:bodyDiv w:val="1"/>
      <w:marLeft w:val="0"/>
      <w:marRight w:val="0"/>
      <w:marTop w:val="0"/>
      <w:marBottom w:val="0"/>
      <w:divBdr>
        <w:top w:val="none" w:sz="0" w:space="0" w:color="auto"/>
        <w:left w:val="none" w:sz="0" w:space="0" w:color="auto"/>
        <w:bottom w:val="none" w:sz="0" w:space="0" w:color="auto"/>
        <w:right w:val="none" w:sz="0" w:space="0" w:color="auto"/>
      </w:divBdr>
    </w:div>
    <w:div w:id="1485119585">
      <w:bodyDiv w:val="1"/>
      <w:marLeft w:val="0"/>
      <w:marRight w:val="0"/>
      <w:marTop w:val="0"/>
      <w:marBottom w:val="0"/>
      <w:divBdr>
        <w:top w:val="none" w:sz="0" w:space="0" w:color="auto"/>
        <w:left w:val="none" w:sz="0" w:space="0" w:color="auto"/>
        <w:bottom w:val="none" w:sz="0" w:space="0" w:color="auto"/>
        <w:right w:val="none" w:sz="0" w:space="0" w:color="auto"/>
      </w:divBdr>
    </w:div>
    <w:div w:id="1522282051">
      <w:bodyDiv w:val="1"/>
      <w:marLeft w:val="0"/>
      <w:marRight w:val="0"/>
      <w:marTop w:val="0"/>
      <w:marBottom w:val="0"/>
      <w:divBdr>
        <w:top w:val="none" w:sz="0" w:space="0" w:color="auto"/>
        <w:left w:val="none" w:sz="0" w:space="0" w:color="auto"/>
        <w:bottom w:val="none" w:sz="0" w:space="0" w:color="auto"/>
        <w:right w:val="none" w:sz="0" w:space="0" w:color="auto"/>
      </w:divBdr>
    </w:div>
    <w:div w:id="1632708002">
      <w:bodyDiv w:val="1"/>
      <w:marLeft w:val="0"/>
      <w:marRight w:val="0"/>
      <w:marTop w:val="0"/>
      <w:marBottom w:val="0"/>
      <w:divBdr>
        <w:top w:val="none" w:sz="0" w:space="0" w:color="auto"/>
        <w:left w:val="none" w:sz="0" w:space="0" w:color="auto"/>
        <w:bottom w:val="none" w:sz="0" w:space="0" w:color="auto"/>
        <w:right w:val="none" w:sz="0" w:space="0" w:color="auto"/>
      </w:divBdr>
    </w:div>
    <w:div w:id="1676768048">
      <w:bodyDiv w:val="1"/>
      <w:marLeft w:val="0"/>
      <w:marRight w:val="0"/>
      <w:marTop w:val="0"/>
      <w:marBottom w:val="0"/>
      <w:divBdr>
        <w:top w:val="none" w:sz="0" w:space="0" w:color="auto"/>
        <w:left w:val="none" w:sz="0" w:space="0" w:color="auto"/>
        <w:bottom w:val="none" w:sz="0" w:space="0" w:color="auto"/>
        <w:right w:val="none" w:sz="0" w:space="0" w:color="auto"/>
      </w:divBdr>
    </w:div>
    <w:div w:id="18708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921afb2e7909a2cf08c5f3ce160a0c96&amp;mc=true&amp;node=se45.1.46_1116"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ams.nih.gov/grants-funding/conducting-clinical-research/trial-policies-guidelines-templates/data-safety-monitoring-guidelines-policies/clinical-study-templates-form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iams.nih.gov/grants-funding/conducting-clinical-trials/clinical-trial-policies-guidelines-and-templates/data-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fda.gov/drugs/investigational-new-drug-ind-application/ind-application-reporting-safety-report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hs.gov/ohrp/compliance-and-reporting/guidance-on-reporting-incident/index.html"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guidance/reviewing-unanticipated-problems/index.html" TargetMode="External"/><Relationship Id="rId22" Type="http://schemas.openxmlformats.org/officeDocument/2006/relationships/hyperlink" Target="https://www.fda.gov/media/93884/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ort-statement.org/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3DC1-48BF-46A0-8E1B-0FF7F8DFB550}">
  <ds:schemaRefs>
    <ds:schemaRef ds:uri="http://schemas.microsoft.com/sharepoint/v3/contenttype/forms"/>
  </ds:schemaRefs>
</ds:datastoreItem>
</file>

<file path=customXml/itemProps2.xml><?xml version="1.0" encoding="utf-8"?>
<ds:datastoreItem xmlns:ds="http://schemas.openxmlformats.org/officeDocument/2006/customXml" ds:itemID="{86B1084F-C9A2-49E2-80EA-1EBA0E7AC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892EE-D22F-479F-929B-8950FAD6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117FF-527D-412E-A74A-0672CA6B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How to Write a Data and Safety Monitoring Plan (DSMP)</vt:lpstr>
    </vt:vector>
  </TitlesOfParts>
  <Company>Altarum Institute</Company>
  <LinksUpToDate>false</LinksUpToDate>
  <CharactersWithSpaces>38182</CharactersWithSpaces>
  <SharedDoc>false</SharedDoc>
  <HLinks>
    <vt:vector size="234" baseType="variant">
      <vt:variant>
        <vt:i4>5177365</vt:i4>
      </vt:variant>
      <vt:variant>
        <vt:i4>210</vt:i4>
      </vt:variant>
      <vt:variant>
        <vt:i4>0</vt:i4>
      </vt:variant>
      <vt:variant>
        <vt:i4>5</vt:i4>
      </vt:variant>
      <vt:variant>
        <vt:lpwstr>https://www.fda.gov/media/93884/download</vt:lpwstr>
      </vt:variant>
      <vt:variant>
        <vt:lpwstr/>
      </vt:variant>
      <vt:variant>
        <vt:i4>6619236</vt:i4>
      </vt:variant>
      <vt:variant>
        <vt:i4>207</vt:i4>
      </vt:variant>
      <vt:variant>
        <vt:i4>0</vt:i4>
      </vt:variant>
      <vt:variant>
        <vt:i4>5</vt:i4>
      </vt:variant>
      <vt:variant>
        <vt:lpwstr>https://www.niams.nih.gov/grants-funding/conducting-clinical-research/trial-policies-guidelines-templates/data-safety-monitoring-guidelines-policies/clinical-study-templates-forms</vt:lpwstr>
      </vt:variant>
      <vt:variant>
        <vt:lpwstr/>
      </vt:variant>
      <vt:variant>
        <vt:i4>2490412</vt:i4>
      </vt:variant>
      <vt:variant>
        <vt:i4>204</vt:i4>
      </vt:variant>
      <vt:variant>
        <vt:i4>0</vt:i4>
      </vt:variant>
      <vt:variant>
        <vt:i4>5</vt:i4>
      </vt:variant>
      <vt:variant>
        <vt:lpwstr>https://www.fda.gov/drugs/investigational-new-drug-ind-application/ind-application-reporting-safety-reports</vt:lpwstr>
      </vt:variant>
      <vt:variant>
        <vt:lpwstr/>
      </vt:variant>
      <vt:variant>
        <vt:i4>6553649</vt:i4>
      </vt:variant>
      <vt:variant>
        <vt:i4>201</vt:i4>
      </vt:variant>
      <vt:variant>
        <vt:i4>0</vt:i4>
      </vt:variant>
      <vt:variant>
        <vt:i4>5</vt:i4>
      </vt:variant>
      <vt:variant>
        <vt:lpwstr>https://www.hhs.gov/ohrp/compliance-and-reporting/guidance-on-reporting-incident/index.html</vt:lpwstr>
      </vt:variant>
      <vt:variant>
        <vt:lpwstr/>
      </vt:variant>
      <vt:variant>
        <vt:i4>524379</vt:i4>
      </vt:variant>
      <vt:variant>
        <vt:i4>198</vt:i4>
      </vt:variant>
      <vt:variant>
        <vt:i4>0</vt:i4>
      </vt:variant>
      <vt:variant>
        <vt:i4>5</vt:i4>
      </vt:variant>
      <vt:variant>
        <vt:lpwstr>https://www.hhs.gov/ohrp/regulations-and-policy/guidance/reviewing-unanticipated-problems/index.html</vt:lpwstr>
      </vt:variant>
      <vt:variant>
        <vt:lpwstr/>
      </vt:variant>
      <vt:variant>
        <vt:i4>4456488</vt:i4>
      </vt:variant>
      <vt:variant>
        <vt:i4>195</vt:i4>
      </vt:variant>
      <vt:variant>
        <vt:i4>0</vt:i4>
      </vt:variant>
      <vt:variant>
        <vt:i4>5</vt:i4>
      </vt:variant>
      <vt:variant>
        <vt:lpwstr>https://www.ecfr.gov/cgi-bin/text-idx?SID=921afb2e7909a2cf08c5f3ce160a0c96&amp;mc=true&amp;node=se45.1.46_1116</vt:lpwstr>
      </vt:variant>
      <vt:variant>
        <vt:lpwstr/>
      </vt:variant>
      <vt:variant>
        <vt:i4>1310773</vt:i4>
      </vt:variant>
      <vt:variant>
        <vt:i4>188</vt:i4>
      </vt:variant>
      <vt:variant>
        <vt:i4>0</vt:i4>
      </vt:variant>
      <vt:variant>
        <vt:i4>5</vt:i4>
      </vt:variant>
      <vt:variant>
        <vt:lpwstr/>
      </vt:variant>
      <vt:variant>
        <vt:lpwstr>_Toc50553264</vt:lpwstr>
      </vt:variant>
      <vt:variant>
        <vt:i4>1245237</vt:i4>
      </vt:variant>
      <vt:variant>
        <vt:i4>182</vt:i4>
      </vt:variant>
      <vt:variant>
        <vt:i4>0</vt:i4>
      </vt:variant>
      <vt:variant>
        <vt:i4>5</vt:i4>
      </vt:variant>
      <vt:variant>
        <vt:lpwstr/>
      </vt:variant>
      <vt:variant>
        <vt:lpwstr>_Toc50553263</vt:lpwstr>
      </vt:variant>
      <vt:variant>
        <vt:i4>1179701</vt:i4>
      </vt:variant>
      <vt:variant>
        <vt:i4>176</vt:i4>
      </vt:variant>
      <vt:variant>
        <vt:i4>0</vt:i4>
      </vt:variant>
      <vt:variant>
        <vt:i4>5</vt:i4>
      </vt:variant>
      <vt:variant>
        <vt:lpwstr/>
      </vt:variant>
      <vt:variant>
        <vt:lpwstr>_Toc50553262</vt:lpwstr>
      </vt:variant>
      <vt:variant>
        <vt:i4>1114165</vt:i4>
      </vt:variant>
      <vt:variant>
        <vt:i4>170</vt:i4>
      </vt:variant>
      <vt:variant>
        <vt:i4>0</vt:i4>
      </vt:variant>
      <vt:variant>
        <vt:i4>5</vt:i4>
      </vt:variant>
      <vt:variant>
        <vt:lpwstr/>
      </vt:variant>
      <vt:variant>
        <vt:lpwstr>_Toc50553261</vt:lpwstr>
      </vt:variant>
      <vt:variant>
        <vt:i4>1048629</vt:i4>
      </vt:variant>
      <vt:variant>
        <vt:i4>164</vt:i4>
      </vt:variant>
      <vt:variant>
        <vt:i4>0</vt:i4>
      </vt:variant>
      <vt:variant>
        <vt:i4>5</vt:i4>
      </vt:variant>
      <vt:variant>
        <vt:lpwstr/>
      </vt:variant>
      <vt:variant>
        <vt:lpwstr>_Toc50553260</vt:lpwstr>
      </vt:variant>
      <vt:variant>
        <vt:i4>1638454</vt:i4>
      </vt:variant>
      <vt:variant>
        <vt:i4>158</vt:i4>
      </vt:variant>
      <vt:variant>
        <vt:i4>0</vt:i4>
      </vt:variant>
      <vt:variant>
        <vt:i4>5</vt:i4>
      </vt:variant>
      <vt:variant>
        <vt:lpwstr/>
      </vt:variant>
      <vt:variant>
        <vt:lpwstr>_Toc50553259</vt:lpwstr>
      </vt:variant>
      <vt:variant>
        <vt:i4>1572918</vt:i4>
      </vt:variant>
      <vt:variant>
        <vt:i4>152</vt:i4>
      </vt:variant>
      <vt:variant>
        <vt:i4>0</vt:i4>
      </vt:variant>
      <vt:variant>
        <vt:i4>5</vt:i4>
      </vt:variant>
      <vt:variant>
        <vt:lpwstr/>
      </vt:variant>
      <vt:variant>
        <vt:lpwstr>_Toc50553258</vt:lpwstr>
      </vt:variant>
      <vt:variant>
        <vt:i4>1507382</vt:i4>
      </vt:variant>
      <vt:variant>
        <vt:i4>146</vt:i4>
      </vt:variant>
      <vt:variant>
        <vt:i4>0</vt:i4>
      </vt:variant>
      <vt:variant>
        <vt:i4>5</vt:i4>
      </vt:variant>
      <vt:variant>
        <vt:lpwstr/>
      </vt:variant>
      <vt:variant>
        <vt:lpwstr>_Toc50553257</vt:lpwstr>
      </vt:variant>
      <vt:variant>
        <vt:i4>1441846</vt:i4>
      </vt:variant>
      <vt:variant>
        <vt:i4>140</vt:i4>
      </vt:variant>
      <vt:variant>
        <vt:i4>0</vt:i4>
      </vt:variant>
      <vt:variant>
        <vt:i4>5</vt:i4>
      </vt:variant>
      <vt:variant>
        <vt:lpwstr/>
      </vt:variant>
      <vt:variant>
        <vt:lpwstr>_Toc50553256</vt:lpwstr>
      </vt:variant>
      <vt:variant>
        <vt:i4>1376310</vt:i4>
      </vt:variant>
      <vt:variant>
        <vt:i4>134</vt:i4>
      </vt:variant>
      <vt:variant>
        <vt:i4>0</vt:i4>
      </vt:variant>
      <vt:variant>
        <vt:i4>5</vt:i4>
      </vt:variant>
      <vt:variant>
        <vt:lpwstr/>
      </vt:variant>
      <vt:variant>
        <vt:lpwstr>_Toc50553255</vt:lpwstr>
      </vt:variant>
      <vt:variant>
        <vt:i4>1310774</vt:i4>
      </vt:variant>
      <vt:variant>
        <vt:i4>128</vt:i4>
      </vt:variant>
      <vt:variant>
        <vt:i4>0</vt:i4>
      </vt:variant>
      <vt:variant>
        <vt:i4>5</vt:i4>
      </vt:variant>
      <vt:variant>
        <vt:lpwstr/>
      </vt:variant>
      <vt:variant>
        <vt:lpwstr>_Toc50553254</vt:lpwstr>
      </vt:variant>
      <vt:variant>
        <vt:i4>1245238</vt:i4>
      </vt:variant>
      <vt:variant>
        <vt:i4>122</vt:i4>
      </vt:variant>
      <vt:variant>
        <vt:i4>0</vt:i4>
      </vt:variant>
      <vt:variant>
        <vt:i4>5</vt:i4>
      </vt:variant>
      <vt:variant>
        <vt:lpwstr/>
      </vt:variant>
      <vt:variant>
        <vt:lpwstr>_Toc50553253</vt:lpwstr>
      </vt:variant>
      <vt:variant>
        <vt:i4>1179702</vt:i4>
      </vt:variant>
      <vt:variant>
        <vt:i4>116</vt:i4>
      </vt:variant>
      <vt:variant>
        <vt:i4>0</vt:i4>
      </vt:variant>
      <vt:variant>
        <vt:i4>5</vt:i4>
      </vt:variant>
      <vt:variant>
        <vt:lpwstr/>
      </vt:variant>
      <vt:variant>
        <vt:lpwstr>_Toc50553252</vt:lpwstr>
      </vt:variant>
      <vt:variant>
        <vt:i4>1114166</vt:i4>
      </vt:variant>
      <vt:variant>
        <vt:i4>110</vt:i4>
      </vt:variant>
      <vt:variant>
        <vt:i4>0</vt:i4>
      </vt:variant>
      <vt:variant>
        <vt:i4>5</vt:i4>
      </vt:variant>
      <vt:variant>
        <vt:lpwstr/>
      </vt:variant>
      <vt:variant>
        <vt:lpwstr>_Toc50553251</vt:lpwstr>
      </vt:variant>
      <vt:variant>
        <vt:i4>1048630</vt:i4>
      </vt:variant>
      <vt:variant>
        <vt:i4>104</vt:i4>
      </vt:variant>
      <vt:variant>
        <vt:i4>0</vt:i4>
      </vt:variant>
      <vt:variant>
        <vt:i4>5</vt:i4>
      </vt:variant>
      <vt:variant>
        <vt:lpwstr/>
      </vt:variant>
      <vt:variant>
        <vt:lpwstr>_Toc50553250</vt:lpwstr>
      </vt:variant>
      <vt:variant>
        <vt:i4>1638455</vt:i4>
      </vt:variant>
      <vt:variant>
        <vt:i4>98</vt:i4>
      </vt:variant>
      <vt:variant>
        <vt:i4>0</vt:i4>
      </vt:variant>
      <vt:variant>
        <vt:i4>5</vt:i4>
      </vt:variant>
      <vt:variant>
        <vt:lpwstr/>
      </vt:variant>
      <vt:variant>
        <vt:lpwstr>_Toc50553249</vt:lpwstr>
      </vt:variant>
      <vt:variant>
        <vt:i4>1572919</vt:i4>
      </vt:variant>
      <vt:variant>
        <vt:i4>92</vt:i4>
      </vt:variant>
      <vt:variant>
        <vt:i4>0</vt:i4>
      </vt:variant>
      <vt:variant>
        <vt:i4>5</vt:i4>
      </vt:variant>
      <vt:variant>
        <vt:lpwstr/>
      </vt:variant>
      <vt:variant>
        <vt:lpwstr>_Toc50553248</vt:lpwstr>
      </vt:variant>
      <vt:variant>
        <vt:i4>1507383</vt:i4>
      </vt:variant>
      <vt:variant>
        <vt:i4>86</vt:i4>
      </vt:variant>
      <vt:variant>
        <vt:i4>0</vt:i4>
      </vt:variant>
      <vt:variant>
        <vt:i4>5</vt:i4>
      </vt:variant>
      <vt:variant>
        <vt:lpwstr/>
      </vt:variant>
      <vt:variant>
        <vt:lpwstr>_Toc50553247</vt:lpwstr>
      </vt:variant>
      <vt:variant>
        <vt:i4>1441847</vt:i4>
      </vt:variant>
      <vt:variant>
        <vt:i4>80</vt:i4>
      </vt:variant>
      <vt:variant>
        <vt:i4>0</vt:i4>
      </vt:variant>
      <vt:variant>
        <vt:i4>5</vt:i4>
      </vt:variant>
      <vt:variant>
        <vt:lpwstr/>
      </vt:variant>
      <vt:variant>
        <vt:lpwstr>_Toc50553246</vt:lpwstr>
      </vt:variant>
      <vt:variant>
        <vt:i4>1376311</vt:i4>
      </vt:variant>
      <vt:variant>
        <vt:i4>74</vt:i4>
      </vt:variant>
      <vt:variant>
        <vt:i4>0</vt:i4>
      </vt:variant>
      <vt:variant>
        <vt:i4>5</vt:i4>
      </vt:variant>
      <vt:variant>
        <vt:lpwstr/>
      </vt:variant>
      <vt:variant>
        <vt:lpwstr>_Toc50553245</vt:lpwstr>
      </vt:variant>
      <vt:variant>
        <vt:i4>1310775</vt:i4>
      </vt:variant>
      <vt:variant>
        <vt:i4>68</vt:i4>
      </vt:variant>
      <vt:variant>
        <vt:i4>0</vt:i4>
      </vt:variant>
      <vt:variant>
        <vt:i4>5</vt:i4>
      </vt:variant>
      <vt:variant>
        <vt:lpwstr/>
      </vt:variant>
      <vt:variant>
        <vt:lpwstr>_Toc50553244</vt:lpwstr>
      </vt:variant>
      <vt:variant>
        <vt:i4>1245239</vt:i4>
      </vt:variant>
      <vt:variant>
        <vt:i4>62</vt:i4>
      </vt:variant>
      <vt:variant>
        <vt:i4>0</vt:i4>
      </vt:variant>
      <vt:variant>
        <vt:i4>5</vt:i4>
      </vt:variant>
      <vt:variant>
        <vt:lpwstr/>
      </vt:variant>
      <vt:variant>
        <vt:lpwstr>_Toc50553243</vt:lpwstr>
      </vt:variant>
      <vt:variant>
        <vt:i4>1179703</vt:i4>
      </vt:variant>
      <vt:variant>
        <vt:i4>56</vt:i4>
      </vt:variant>
      <vt:variant>
        <vt:i4>0</vt:i4>
      </vt:variant>
      <vt:variant>
        <vt:i4>5</vt:i4>
      </vt:variant>
      <vt:variant>
        <vt:lpwstr/>
      </vt:variant>
      <vt:variant>
        <vt:lpwstr>_Toc50553242</vt:lpwstr>
      </vt:variant>
      <vt:variant>
        <vt:i4>1114167</vt:i4>
      </vt:variant>
      <vt:variant>
        <vt:i4>50</vt:i4>
      </vt:variant>
      <vt:variant>
        <vt:i4>0</vt:i4>
      </vt:variant>
      <vt:variant>
        <vt:i4>5</vt:i4>
      </vt:variant>
      <vt:variant>
        <vt:lpwstr/>
      </vt:variant>
      <vt:variant>
        <vt:lpwstr>_Toc50553241</vt:lpwstr>
      </vt:variant>
      <vt:variant>
        <vt:i4>1048631</vt:i4>
      </vt:variant>
      <vt:variant>
        <vt:i4>44</vt:i4>
      </vt:variant>
      <vt:variant>
        <vt:i4>0</vt:i4>
      </vt:variant>
      <vt:variant>
        <vt:i4>5</vt:i4>
      </vt:variant>
      <vt:variant>
        <vt:lpwstr/>
      </vt:variant>
      <vt:variant>
        <vt:lpwstr>_Toc50553240</vt:lpwstr>
      </vt:variant>
      <vt:variant>
        <vt:i4>1638448</vt:i4>
      </vt:variant>
      <vt:variant>
        <vt:i4>38</vt:i4>
      </vt:variant>
      <vt:variant>
        <vt:i4>0</vt:i4>
      </vt:variant>
      <vt:variant>
        <vt:i4>5</vt:i4>
      </vt:variant>
      <vt:variant>
        <vt:lpwstr/>
      </vt:variant>
      <vt:variant>
        <vt:lpwstr>_Toc50553239</vt:lpwstr>
      </vt:variant>
      <vt:variant>
        <vt:i4>1572912</vt:i4>
      </vt:variant>
      <vt:variant>
        <vt:i4>32</vt:i4>
      </vt:variant>
      <vt:variant>
        <vt:i4>0</vt:i4>
      </vt:variant>
      <vt:variant>
        <vt:i4>5</vt:i4>
      </vt:variant>
      <vt:variant>
        <vt:lpwstr/>
      </vt:variant>
      <vt:variant>
        <vt:lpwstr>_Toc50553238</vt:lpwstr>
      </vt:variant>
      <vt:variant>
        <vt:i4>1507376</vt:i4>
      </vt:variant>
      <vt:variant>
        <vt:i4>26</vt:i4>
      </vt:variant>
      <vt:variant>
        <vt:i4>0</vt:i4>
      </vt:variant>
      <vt:variant>
        <vt:i4>5</vt:i4>
      </vt:variant>
      <vt:variant>
        <vt:lpwstr/>
      </vt:variant>
      <vt:variant>
        <vt:lpwstr>_Toc50553237</vt:lpwstr>
      </vt:variant>
      <vt:variant>
        <vt:i4>1441840</vt:i4>
      </vt:variant>
      <vt:variant>
        <vt:i4>20</vt:i4>
      </vt:variant>
      <vt:variant>
        <vt:i4>0</vt:i4>
      </vt:variant>
      <vt:variant>
        <vt:i4>5</vt:i4>
      </vt:variant>
      <vt:variant>
        <vt:lpwstr/>
      </vt:variant>
      <vt:variant>
        <vt:lpwstr>_Toc50553236</vt:lpwstr>
      </vt:variant>
      <vt:variant>
        <vt:i4>1376304</vt:i4>
      </vt:variant>
      <vt:variant>
        <vt:i4>14</vt:i4>
      </vt:variant>
      <vt:variant>
        <vt:i4>0</vt:i4>
      </vt:variant>
      <vt:variant>
        <vt:i4>5</vt:i4>
      </vt:variant>
      <vt:variant>
        <vt:lpwstr/>
      </vt:variant>
      <vt:variant>
        <vt:lpwstr>_Toc50553235</vt:lpwstr>
      </vt:variant>
      <vt:variant>
        <vt:i4>1310768</vt:i4>
      </vt:variant>
      <vt:variant>
        <vt:i4>8</vt:i4>
      </vt:variant>
      <vt:variant>
        <vt:i4>0</vt:i4>
      </vt:variant>
      <vt:variant>
        <vt:i4>5</vt:i4>
      </vt:variant>
      <vt:variant>
        <vt:lpwstr/>
      </vt:variant>
      <vt:variant>
        <vt:lpwstr>_Toc50553234</vt:lpwstr>
      </vt:variant>
      <vt:variant>
        <vt:i4>1245232</vt:i4>
      </vt:variant>
      <vt:variant>
        <vt:i4>2</vt:i4>
      </vt:variant>
      <vt:variant>
        <vt:i4>0</vt:i4>
      </vt:variant>
      <vt:variant>
        <vt:i4>5</vt:i4>
      </vt:variant>
      <vt:variant>
        <vt:lpwstr/>
      </vt:variant>
      <vt:variant>
        <vt:lpwstr>_Toc50553233</vt:lpwstr>
      </vt:variant>
      <vt:variant>
        <vt:i4>4063337</vt:i4>
      </vt:variant>
      <vt:variant>
        <vt:i4>0</vt:i4>
      </vt:variant>
      <vt:variant>
        <vt:i4>0</vt:i4>
      </vt:variant>
      <vt:variant>
        <vt:i4>5</vt:i4>
      </vt:variant>
      <vt:variant>
        <vt:lpwstr>http://www.consort-statement.org/downloads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Data and Safety Monitoring Plan (DSMP)</dc:title>
  <dc:subject/>
  <dc:creator>National Institute of Arthritis and Musculoskeletal and Skin Diseases</dc:creator>
  <cp:keywords>National Institute of Arthritis and Musculoskeletal and Skin Diseases; NIAMS; Writing; Data and Safety Monitoring Plan; DSMP;</cp:keywords>
  <cp:lastModifiedBy>Guy Hendrickson</cp:lastModifiedBy>
  <cp:revision>27</cp:revision>
  <cp:lastPrinted>2008-03-25T00:14:00Z</cp:lastPrinted>
  <dcterms:created xsi:type="dcterms:W3CDTF">2021-01-11T18:34:00Z</dcterms:created>
  <dcterms:modified xsi:type="dcterms:W3CDTF">2021-08-12T21:38:00Z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